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numPr>
          <w:ilvl w:val="0"/>
          <w:numId w:val="0"/>
        </w:numPr>
        <w:tabs>
          <w:tab w:val="clear" w:pos="1293"/>
        </w:tabs>
        <w:jc w:val="center"/>
        <w:outlineLvl w:val="0"/>
        <w:rPr>
          <w:b/>
          <w:b/>
          <w:szCs w:val="24"/>
          <w:lang w:val="lt-LT"/>
        </w:rPr>
      </w:pPr>
      <w:r>
        <w:rPr/>
        <w:drawing>
          <wp:inline distT="0" distB="0" distL="0" distR="0">
            <wp:extent cx="571500" cy="723900"/>
            <wp:effectExtent l="0" t="0" r="0" b="0"/>
            <wp:docPr id="1" name="Paveikslėlis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66" descr=""/>
                    <pic:cNvPicPr>
                      <a:picLocks noChangeAspect="1" noChangeArrowheads="1"/>
                    </pic:cNvPicPr>
                  </pic:nvPicPr>
                  <pic:blipFill>
                    <a:blip r:embed="rId2"/>
                    <a:stretch>
                      <a:fillRect/>
                    </a:stretch>
                  </pic:blipFill>
                  <pic:spPr bwMode="auto">
                    <a:xfrm>
                      <a:off x="0" y="0"/>
                      <a:ext cx="571500" cy="723900"/>
                    </a:xfrm>
                    <a:prstGeom prst="rect">
                      <a:avLst/>
                    </a:prstGeom>
                  </pic:spPr>
                </pic:pic>
              </a:graphicData>
            </a:graphic>
          </wp:inline>
        </w:drawing>
      </w:r>
    </w:p>
    <w:p>
      <w:pPr>
        <w:pStyle w:val="Normal"/>
        <w:widowControl/>
        <w:numPr>
          <w:ilvl w:val="0"/>
          <w:numId w:val="0"/>
        </w:numPr>
        <w:tabs>
          <w:tab w:val="clear" w:pos="1293"/>
        </w:tabs>
        <w:jc w:val="center"/>
        <w:outlineLvl w:val="0"/>
        <w:rPr>
          <w:b/>
          <w:b/>
          <w:szCs w:val="24"/>
          <w:lang w:val="lt-LT"/>
        </w:rPr>
      </w:pPr>
      <w:r>
        <w:rPr>
          <w:b/>
          <w:szCs w:val="24"/>
          <w:lang w:val="lt-LT"/>
        </w:rPr>
      </w:r>
    </w:p>
    <w:p>
      <w:pPr>
        <w:pStyle w:val="Normal"/>
        <w:widowControl/>
        <w:numPr>
          <w:ilvl w:val="0"/>
          <w:numId w:val="0"/>
        </w:numPr>
        <w:tabs>
          <w:tab w:val="clear" w:pos="1293"/>
        </w:tabs>
        <w:jc w:val="center"/>
        <w:outlineLvl w:val="0"/>
        <w:rPr>
          <w:b/>
          <w:b/>
          <w:szCs w:val="24"/>
          <w:lang w:val="lt-LT"/>
        </w:rPr>
      </w:pPr>
      <w:r>
        <w:rPr>
          <w:b/>
          <w:szCs w:val="24"/>
          <w:lang w:val="lt-LT"/>
        </w:rPr>
        <w:t>IGNALINOS RAJONO SAVIVALDYBĖS TARYBA</w:t>
      </w:r>
    </w:p>
    <w:p>
      <w:pPr>
        <w:pStyle w:val="Normal"/>
        <w:widowControl/>
        <w:tabs>
          <w:tab w:val="clear" w:pos="1293"/>
        </w:tabs>
        <w:jc w:val="center"/>
        <w:rPr>
          <w:b/>
          <w:b/>
          <w:szCs w:val="24"/>
          <w:lang w:val="lt-LT"/>
        </w:rPr>
      </w:pPr>
      <w:r>
        <w:rPr>
          <w:b/>
          <w:szCs w:val="24"/>
          <w:lang w:val="lt-LT"/>
        </w:rPr>
      </w:r>
    </w:p>
    <w:p>
      <w:pPr>
        <w:pStyle w:val="Normal"/>
        <w:widowControl/>
        <w:numPr>
          <w:ilvl w:val="0"/>
          <w:numId w:val="0"/>
        </w:numPr>
        <w:tabs>
          <w:tab w:val="clear" w:pos="1293"/>
        </w:tabs>
        <w:jc w:val="center"/>
        <w:outlineLvl w:val="0"/>
        <w:rPr>
          <w:b/>
          <w:b/>
          <w:szCs w:val="24"/>
          <w:lang w:val="lt-LT"/>
        </w:rPr>
      </w:pPr>
      <w:r>
        <w:rPr>
          <w:b/>
          <w:szCs w:val="24"/>
          <w:lang w:val="lt-LT"/>
        </w:rPr>
        <w:t>SPRENDIMAS</w:t>
      </w:r>
    </w:p>
    <w:p>
      <w:pPr>
        <w:pStyle w:val="Normal"/>
        <w:shd w:val="clear" w:color="auto" w:fill="FFFFFF"/>
        <w:jc w:val="center"/>
        <w:rPr>
          <w:rFonts w:eastAsia="Calibri"/>
          <w:b/>
          <w:b/>
          <w:bCs/>
          <w:szCs w:val="24"/>
          <w:lang w:val="lt-LT"/>
        </w:rPr>
      </w:pPr>
      <w:r>
        <w:rPr>
          <w:rFonts w:eastAsia="Calibri"/>
          <w:b/>
          <w:szCs w:val="24"/>
          <w:lang w:val="lt-LT" w:eastAsia="lt-LT"/>
        </w:rPr>
        <w:t xml:space="preserve">DĖL </w:t>
      </w:r>
      <w:r>
        <w:rPr>
          <w:rFonts w:eastAsia="Calibri"/>
          <w:b/>
          <w:bCs/>
          <w:szCs w:val="24"/>
          <w:lang w:val="lt-LT"/>
        </w:rPr>
        <w:t>MAKSIMALAUS BENDROJO NAUDOJIMO OBJEKTŲ ADMINISTRAVIMO TARIFO APSKAIČIAVIMO TVARKOS APRAŠO PATVIRTINIMO</w:t>
      </w:r>
    </w:p>
    <w:p>
      <w:pPr>
        <w:pStyle w:val="Normal"/>
        <w:shd w:val="clear" w:color="auto" w:fill="FFFFFF"/>
        <w:jc w:val="center"/>
        <w:rPr>
          <w:rFonts w:eastAsia="Calibri"/>
          <w:b/>
          <w:b/>
          <w:bCs/>
          <w:szCs w:val="24"/>
          <w:lang w:val="lt-LT"/>
        </w:rPr>
      </w:pPr>
      <w:r>
        <w:rPr>
          <w:rFonts w:eastAsia="Calibri"/>
          <w:b/>
          <w:bCs/>
          <w:szCs w:val="24"/>
          <w:lang w:val="lt-LT"/>
        </w:rPr>
      </w:r>
    </w:p>
    <w:p>
      <w:pPr>
        <w:pStyle w:val="Normal"/>
        <w:tabs>
          <w:tab w:val="left" w:pos="1134" w:leader="none"/>
          <w:tab w:val="left" w:pos="1293" w:leader="none"/>
          <w:tab w:val="left" w:pos="4253" w:leader="none"/>
        </w:tabs>
        <w:jc w:val="center"/>
        <w:rPr>
          <w:szCs w:val="24"/>
          <w:lang w:val="lt-LT"/>
        </w:rPr>
      </w:pPr>
      <w:r>
        <w:rPr>
          <w:szCs w:val="24"/>
          <w:lang w:val="lt-LT"/>
        </w:rPr>
        <w:t xml:space="preserve">2023 m. lapkričio 30 d. Nr. T-228 </w:t>
      </w:r>
    </w:p>
    <w:p>
      <w:pPr>
        <w:pStyle w:val="Antrats1"/>
        <w:widowControl/>
        <w:tabs>
          <w:tab w:val="left" w:pos="720" w:leader="none"/>
          <w:tab w:val="center" w:pos="4153" w:leader="none"/>
          <w:tab w:val="right" w:pos="8306" w:leader="none"/>
        </w:tabs>
        <w:jc w:val="center"/>
        <w:rPr>
          <w:szCs w:val="24"/>
          <w:lang w:val="lt-LT"/>
        </w:rPr>
      </w:pPr>
      <w:r>
        <w:rPr>
          <w:szCs w:val="24"/>
          <w:lang w:val="lt-LT"/>
        </w:rPr>
        <w:t>Ignalina</w:t>
      </w:r>
    </w:p>
    <w:p>
      <w:pPr>
        <w:pStyle w:val="Normal"/>
        <w:widowControl/>
        <w:tabs>
          <w:tab w:val="clear" w:pos="1293"/>
        </w:tabs>
        <w:overflowPunct w:val="true"/>
        <w:ind w:left="709" w:hanging="709"/>
        <w:jc w:val="both"/>
        <w:textAlignment w:val="auto"/>
        <w:rPr>
          <w:szCs w:val="24"/>
          <w:lang w:val="lt-LT"/>
        </w:rPr>
      </w:pPr>
      <w:r>
        <w:rPr>
          <w:szCs w:val="24"/>
          <w:lang w:val="lt-LT"/>
        </w:rPr>
      </w:r>
    </w:p>
    <w:p>
      <w:pPr>
        <w:pStyle w:val="Normal"/>
        <w:tabs>
          <w:tab w:val="clear" w:pos="1293"/>
          <w:tab w:val="left" w:pos="1134" w:leader="none"/>
        </w:tabs>
        <w:overflowPunct w:val="true"/>
        <w:ind w:firstLine="1134"/>
        <w:jc w:val="both"/>
        <w:textAlignment w:val="auto"/>
        <w:rPr>
          <w:rFonts w:eastAsia="Lucida Sans Unicode"/>
          <w:bCs/>
          <w:kern w:val="2"/>
          <w:szCs w:val="24"/>
          <w:lang w:val="lt-LT" w:eastAsia="zh-CN" w:bidi="hi-IN"/>
        </w:rPr>
      </w:pPr>
      <w:r>
        <w:rPr>
          <w:rFonts w:eastAsia="Lucida Sans Unicode"/>
          <w:kern w:val="2"/>
          <w:szCs w:val="24"/>
          <w:lang w:val="lt-LT" w:eastAsia="zh-CN" w:bidi="hi-IN"/>
        </w:rPr>
        <w:t>Vadovaudamasi Lietuvos Respublikos civilinio kodekso 4.84 straipsnio 9 dalimi,</w:t>
      </w:r>
      <w:r>
        <w:rPr>
          <w:rFonts w:eastAsia="Lucida Sans Unicode"/>
          <w:bCs/>
          <w:kern w:val="2"/>
          <w:szCs w:val="24"/>
          <w:lang w:val="lt-LT" w:eastAsia="zh-CN" w:bidi="hi-IN"/>
        </w:rPr>
        <w:t xml:space="preserve"> Lietuvos Respublikos vietos savivaldos įstatymo 15 straipsnio 2 dalies 29 punktu</w:t>
      </w:r>
      <w:r>
        <w:rPr>
          <w:rFonts w:eastAsia="Lucida Sans Unicode"/>
          <w:kern w:val="2"/>
          <w:szCs w:val="24"/>
          <w:lang w:val="lt-LT" w:eastAsia="zh-CN" w:bidi="hi-IN"/>
        </w:rPr>
        <w:t xml:space="preserve">, </w:t>
      </w:r>
      <w:r>
        <w:rPr>
          <w:rFonts w:eastAsia="Lucida Sans Unicode"/>
          <w:bCs/>
          <w:kern w:val="2"/>
          <w:szCs w:val="24"/>
          <w:lang w:val="lt-LT" w:eastAsia="zh-CN" w:bidi="hi-IN"/>
        </w:rPr>
        <w:t xml:space="preserve">16 straipsnio 1 dalimi, </w:t>
      </w:r>
      <w:r>
        <w:rPr>
          <w:rFonts w:eastAsia="Lucida Sans Unicode"/>
          <w:bCs/>
          <w:kern w:val="2"/>
          <w:szCs w:val="24"/>
          <w:lang w:val="lt-LT" w:eastAsia="zh-CN" w:bidi="he-IL"/>
        </w:rPr>
        <w:t>Daugiabučio namo bendrojo naudojimo objektų administravimo nuostatų, patvirtintų Lietuvos Respublikos Vyriausybės 2001 m. gegužės 23 d. nutarimu Nr. 603 „Dėl Daugiabučio namo bendrojo naudojimo objektų administravimo nuostatų patvirtinimo“, 8.1 papunkčiu</w:t>
      </w:r>
      <w:r>
        <w:rPr>
          <w:rFonts w:eastAsia="Calibri"/>
          <w:bCs/>
          <w:szCs w:val="24"/>
          <w:lang w:val="lt-LT" w:eastAsia="lt-LT"/>
        </w:rPr>
        <w:t>, atsižvelgdama į  uždarosios akcinės bendrovės Ignalinos butų ūkio 2023 m. lapkričio 9 d. raštą Nr. 1-468 „</w:t>
      </w:r>
      <w:r>
        <w:rPr>
          <w:color w:val="000000"/>
          <w:szCs w:val="24"/>
          <w:shd w:fill="FFFFFF" w:val="clear"/>
          <w:lang w:val="lt-LT"/>
        </w:rPr>
        <w:t>Dėl Maksimalaus bendrojo naudojimo objektų administravimo tarifo apskaičiavimo tvarkos aprašo patvirtinimo ir maksimalaus administravimo mokesčio tarifo nustatymo</w:t>
      </w:r>
      <w:r>
        <w:rPr>
          <w:rFonts w:eastAsia="Calibri"/>
          <w:bCs/>
          <w:szCs w:val="24"/>
          <w:lang w:val="lt-LT" w:eastAsia="lt-LT"/>
        </w:rPr>
        <w:t>“, uždarosios akcinės bendrovės „Didžiasalio komunalinės paslaugos“ 2023 m. lapkričio 9 d. raštą Nr. R-282 „</w:t>
      </w:r>
      <w:r>
        <w:rPr>
          <w:color w:val="000000"/>
          <w:szCs w:val="24"/>
          <w:shd w:fill="FFFFFF" w:val="clear"/>
          <w:lang w:val="lt-LT"/>
        </w:rPr>
        <w:t>Dėl daugiabučių namų techninės priežiūros ir bendrojo naudojimo objektų administravimo tarifų ir jų skaičiavimo tvarkų parengimo</w:t>
      </w:r>
      <w:r>
        <w:rPr>
          <w:rFonts w:eastAsia="Calibri"/>
          <w:bCs/>
          <w:szCs w:val="24"/>
          <w:lang w:val="lt-LT" w:eastAsia="lt-LT"/>
        </w:rPr>
        <w:t xml:space="preserve">“, uždarosios akcinės bendrovės „Sistela“ rekomendacijas dėl daugiabučių gyvenamųjų namų administravimo ir priežiūros mokesčio tarifų apskaičiavimų (pagal 2023 m. balandžio mėnesio statinių statybos skaičiuojamąsias kainas), Ignalinos  rajono </w:t>
      </w:r>
      <w:r>
        <w:rPr>
          <w:rFonts w:eastAsia="Lucida Sans Unicode"/>
          <w:bCs/>
          <w:kern w:val="2"/>
          <w:szCs w:val="24"/>
          <w:lang w:val="lt-LT" w:eastAsia="zh-CN" w:bidi="hi-IN"/>
        </w:rPr>
        <w:t xml:space="preserve"> savivaldybės taryba  </w:t>
      </w:r>
      <w:r>
        <w:rPr>
          <w:rFonts w:eastAsia="Lucida Sans Unicode"/>
          <w:spacing w:val="60"/>
          <w:kern w:val="2"/>
          <w:szCs w:val="24"/>
          <w:lang w:val="lt-LT" w:eastAsia="zh-CN" w:bidi="hi-IN"/>
        </w:rPr>
        <w:t>nusprendži</w:t>
      </w:r>
      <w:r>
        <w:rPr>
          <w:rFonts w:eastAsia="Lucida Sans Unicode"/>
          <w:kern w:val="2"/>
          <w:szCs w:val="24"/>
          <w:lang w:val="lt-LT" w:eastAsia="zh-CN" w:bidi="hi-IN"/>
        </w:rPr>
        <w:t>a:</w:t>
      </w:r>
    </w:p>
    <w:p>
      <w:pPr>
        <w:pStyle w:val="Normal"/>
        <w:tabs>
          <w:tab w:val="clear" w:pos="1293"/>
          <w:tab w:val="left" w:pos="1134" w:leader="none"/>
        </w:tabs>
        <w:overflowPunct w:val="true"/>
        <w:ind w:firstLine="1134"/>
        <w:jc w:val="both"/>
        <w:textAlignment w:val="auto"/>
        <w:rPr>
          <w:rFonts w:eastAsia="Lucida Sans Unicode"/>
          <w:bCs/>
          <w:kern w:val="2"/>
          <w:szCs w:val="24"/>
          <w:lang w:val="lt-LT" w:eastAsia="zh-CN" w:bidi="hi-IN"/>
        </w:rPr>
      </w:pPr>
      <w:r>
        <w:rPr>
          <w:rFonts w:eastAsia="Lucida Sans Unicode"/>
          <w:bCs/>
          <w:kern w:val="2"/>
          <w:szCs w:val="24"/>
          <w:lang w:val="lt-LT" w:eastAsia="zh-CN" w:bidi="hi-IN"/>
        </w:rPr>
        <w:t xml:space="preserve">1. </w:t>
      </w:r>
      <w:r>
        <w:rPr>
          <w:shd w:fill="FFFFFF" w:val="clear"/>
          <w:lang w:val="lt-LT"/>
        </w:rPr>
        <w:t>Patvirtinti Maksimalaus bendrojo naudojimo objektų administravimo tarifo apskaičiavimo tvarkos aprašą</w:t>
      </w:r>
      <w:r>
        <w:rPr>
          <w:color w:val="212529"/>
          <w:shd w:fill="FFFFFF" w:val="clear"/>
        </w:rPr>
        <w:t xml:space="preserve"> </w:t>
      </w:r>
      <w:r>
        <w:rPr>
          <w:szCs w:val="24"/>
          <w:lang w:val="lt-LT"/>
        </w:rPr>
        <w:t>(pridedama).</w:t>
      </w:r>
    </w:p>
    <w:p>
      <w:pPr>
        <w:pStyle w:val="Normal"/>
        <w:tabs>
          <w:tab w:val="clear" w:pos="1293"/>
          <w:tab w:val="left" w:pos="1134" w:leader="none"/>
        </w:tabs>
        <w:overflowPunct w:val="true"/>
        <w:ind w:firstLine="1134"/>
        <w:jc w:val="both"/>
        <w:textAlignment w:val="auto"/>
        <w:rPr>
          <w:rFonts w:eastAsia="Lucida Sans Unicode"/>
          <w:bCs/>
          <w:kern w:val="2"/>
          <w:szCs w:val="24"/>
          <w:lang w:val="lt-LT" w:eastAsia="zh-CN" w:bidi="hi-IN"/>
        </w:rPr>
      </w:pPr>
      <w:r>
        <w:rPr>
          <w:szCs w:val="24"/>
          <w:lang w:val="lt-LT" w:bidi="he-IL"/>
        </w:rPr>
        <w:t>2. Nustatyti, kad asmens, pretenduojančio teikti bendrojo naudojimo objektų administravimo paslaugas, nurodytas administravimo tarifas negali viršyti šio sprendimo 1 punktu patvirtinto aprašo nustatyta tvarka apskaičiuoto namo maksimalaus administravimo mokesčio tarifo (be pridėtinės vertės mokesčio) per mėnesį už 1 kv. m naudingojo ploto:</w:t>
      </w:r>
    </w:p>
    <w:p>
      <w:pPr>
        <w:pStyle w:val="Normal"/>
        <w:tabs>
          <w:tab w:val="clear" w:pos="1293"/>
          <w:tab w:val="left" w:pos="1134" w:leader="none"/>
        </w:tabs>
        <w:overflowPunct w:val="true"/>
        <w:ind w:firstLine="1134"/>
        <w:jc w:val="both"/>
        <w:textAlignment w:val="auto"/>
        <w:rPr>
          <w:rFonts w:eastAsia="Lucida Sans Unicode"/>
          <w:bCs/>
          <w:kern w:val="2"/>
          <w:szCs w:val="24"/>
          <w:lang w:val="lt-LT" w:eastAsia="zh-CN" w:bidi="hi-IN"/>
        </w:rPr>
      </w:pPr>
      <w:r>
        <w:rPr>
          <w:szCs w:val="24"/>
          <w:lang w:val="lt-LT" w:bidi="he-IL"/>
        </w:rPr>
        <w:t>2.1. daugiabučių namų, kurių plotas iki 1000 kv. m – 0,049 Eur;</w:t>
      </w:r>
    </w:p>
    <w:p>
      <w:pPr>
        <w:pStyle w:val="Normal"/>
        <w:tabs>
          <w:tab w:val="clear" w:pos="1293"/>
          <w:tab w:val="left" w:pos="1134" w:leader="none"/>
        </w:tabs>
        <w:overflowPunct w:val="true"/>
        <w:ind w:firstLine="1134"/>
        <w:jc w:val="both"/>
        <w:textAlignment w:val="auto"/>
        <w:rPr>
          <w:rFonts w:eastAsia="Lucida Sans Unicode"/>
          <w:bCs/>
          <w:kern w:val="2"/>
          <w:szCs w:val="24"/>
          <w:lang w:val="lt-LT" w:eastAsia="zh-CN" w:bidi="hi-IN"/>
        </w:rPr>
      </w:pPr>
      <w:r>
        <w:rPr>
          <w:szCs w:val="24"/>
          <w:lang w:val="lt-LT" w:bidi="he-IL"/>
        </w:rPr>
        <w:t>2.2. daugiabučių namų, kurių plotas nuo 1001 iki 2000 kv. m – 0,078 Eur;</w:t>
      </w:r>
    </w:p>
    <w:p>
      <w:pPr>
        <w:pStyle w:val="Normal"/>
        <w:tabs>
          <w:tab w:val="clear" w:pos="1293"/>
          <w:tab w:val="left" w:pos="1134" w:leader="none"/>
        </w:tabs>
        <w:overflowPunct w:val="true"/>
        <w:ind w:firstLine="1134"/>
        <w:jc w:val="both"/>
        <w:textAlignment w:val="auto"/>
        <w:rPr>
          <w:szCs w:val="24"/>
          <w:lang w:val="lt-LT" w:bidi="he-IL"/>
        </w:rPr>
      </w:pPr>
      <w:r>
        <w:rPr>
          <w:szCs w:val="24"/>
          <w:lang w:val="lt-LT" w:bidi="he-IL"/>
        </w:rPr>
        <w:t>2.3. daugiabučių namų, kurių plotas nuo 2001 iki 3000 kv. m – 0,089 Eur.</w:t>
      </w:r>
    </w:p>
    <w:p>
      <w:pPr>
        <w:pStyle w:val="Normal"/>
        <w:tabs>
          <w:tab w:val="clear" w:pos="1293"/>
          <w:tab w:val="left" w:pos="1134" w:leader="none"/>
        </w:tabs>
        <w:overflowPunct w:val="true"/>
        <w:ind w:firstLine="1134"/>
        <w:jc w:val="both"/>
        <w:textAlignment w:val="auto"/>
        <w:rPr>
          <w:rFonts w:eastAsia="Lucida Sans Unicode"/>
          <w:bCs/>
          <w:kern w:val="2"/>
          <w:szCs w:val="24"/>
          <w:lang w:val="lt-LT" w:eastAsia="zh-CN" w:bidi="hi-IN"/>
        </w:rPr>
      </w:pPr>
      <w:r>
        <w:rPr>
          <w:szCs w:val="24"/>
          <w:shd w:fill="FFFFFF" w:val="clear"/>
          <w:lang w:val="lt-LT"/>
        </w:rPr>
        <w:t>2.4. daugiabučių namų kaimo vietovėse – 0,089 Eur.</w:t>
      </w:r>
    </w:p>
    <w:p>
      <w:pPr>
        <w:pStyle w:val="Normal"/>
        <w:tabs>
          <w:tab w:val="clear" w:pos="1293"/>
          <w:tab w:val="left" w:pos="1134" w:leader="none"/>
        </w:tabs>
        <w:overflowPunct w:val="true"/>
        <w:ind w:firstLine="1134"/>
        <w:jc w:val="both"/>
        <w:textAlignment w:val="auto"/>
        <w:rPr>
          <w:szCs w:val="24"/>
          <w:lang w:val="lt-LT"/>
        </w:rPr>
      </w:pPr>
      <w:r>
        <w:rPr>
          <w:szCs w:val="24"/>
          <w:lang w:val="lt-LT" w:bidi="he-IL"/>
        </w:rPr>
        <w:t xml:space="preserve">3. </w:t>
      </w:r>
      <w:r>
        <w:rPr>
          <w:szCs w:val="24"/>
          <w:lang w:val="lt-LT"/>
        </w:rPr>
        <w:t xml:space="preserve">Pripažinti netekusiu galios Ignalinos rajono savivaldybės tarybos 2021 m. birželio 29 d. sprendimą </w:t>
      </w:r>
      <w:bookmarkStart w:id="0" w:name="n_0"/>
      <w:r>
        <w:rPr>
          <w:szCs w:val="24"/>
          <w:lang w:val="lt-LT"/>
        </w:rPr>
        <w:t xml:space="preserve">Nr. T-126 </w:t>
      </w:r>
      <w:bookmarkEnd w:id="0"/>
      <w:r>
        <w:rPr>
          <w:szCs w:val="24"/>
          <w:lang w:val="lt-LT"/>
        </w:rPr>
        <w:t>„Dėl Maksimalaus bendrojo naudojimo objektų administravimo tarifo apskaičiavimo tvarkos aprašo patvirtinimo“.</w:t>
      </w:r>
    </w:p>
    <w:p>
      <w:pPr>
        <w:pStyle w:val="Normal"/>
        <w:widowControl/>
        <w:shd w:val="clear" w:color="auto" w:fill="FFFFFF"/>
        <w:tabs>
          <w:tab w:val="clear" w:pos="1293"/>
        </w:tabs>
        <w:suppressAutoHyphens w:val="false"/>
        <w:ind w:firstLine="1134"/>
        <w:jc w:val="both"/>
        <w:textAlignment w:val="auto"/>
        <w:rPr>
          <w:szCs w:val="24"/>
          <w:lang w:val="lt-LT"/>
        </w:rPr>
      </w:pPr>
      <w:r>
        <w:rPr>
          <w:szCs w:val="24"/>
          <w:lang w:val="lt-LT"/>
        </w:rPr>
        <w:t>4. Nustatyti, kad šis sprendimas įsigalioja nuo 2024 m. sausio 1 d.</w:t>
      </w:r>
    </w:p>
    <w:p>
      <w:pPr>
        <w:pStyle w:val="Normal"/>
        <w:widowControl/>
        <w:shd w:val="clear" w:color="auto" w:fill="FFFFFF"/>
        <w:tabs>
          <w:tab w:val="clear" w:pos="1293"/>
        </w:tabs>
        <w:suppressAutoHyphens w:val="false"/>
        <w:ind w:firstLine="1134"/>
        <w:jc w:val="both"/>
        <w:textAlignment w:val="auto"/>
        <w:rPr>
          <w:szCs w:val="24"/>
          <w:lang w:val="lt-LT"/>
        </w:rPr>
      </w:pPr>
      <w:r>
        <w:rPr>
          <w:szCs w:val="24"/>
          <w:lang w:val="lt-LT"/>
        </w:rPr>
        <w:t xml:space="preserve">5. </w:t>
      </w:r>
      <w:r>
        <w:rPr>
          <w:szCs w:val="24"/>
          <w:lang w:val="lt-LT" w:eastAsia="lt-LT"/>
        </w:rPr>
        <w:t xml:space="preserve">Paskelbti šį sprendimą Teisės aktų registre ir savivaldybės interneto svetainėje </w:t>
      </w:r>
      <w:r>
        <w:rPr>
          <w:rStyle w:val="Internetosaitas"/>
          <w:color w:val="000000"/>
          <w:szCs w:val="24"/>
          <w:u w:val="none"/>
          <w:lang w:val="lt-LT" w:eastAsia="lt-LT"/>
        </w:rPr>
        <w:t>www.ignalina.lt.</w:t>
      </w:r>
    </w:p>
    <w:p>
      <w:pPr>
        <w:pStyle w:val="Normal"/>
        <w:widowControl/>
        <w:tabs>
          <w:tab w:val="clear" w:pos="1293"/>
        </w:tabs>
        <w:overflowPunct w:val="true"/>
        <w:ind w:firstLine="1134"/>
        <w:jc w:val="both"/>
        <w:textAlignment w:val="auto"/>
        <w:rPr>
          <w:color w:val="000000"/>
          <w:szCs w:val="24"/>
          <w:lang w:val="lt-LT" w:eastAsia="lt-LT"/>
        </w:rPr>
      </w:pPr>
      <w:r>
        <w:rPr>
          <w:color w:val="000000"/>
          <w:szCs w:val="24"/>
          <w:lang w:val="lt-LT" w:eastAsia="lt-LT"/>
        </w:rPr>
      </w:r>
    </w:p>
    <w:p>
      <w:pPr>
        <w:pStyle w:val="Normal"/>
        <w:widowControl/>
        <w:tabs>
          <w:tab w:val="clear" w:pos="1293"/>
        </w:tabs>
        <w:overflowPunct w:val="true"/>
        <w:ind w:firstLine="1134"/>
        <w:jc w:val="both"/>
        <w:textAlignment w:val="auto"/>
        <w:rPr>
          <w:color w:val="000000"/>
          <w:szCs w:val="24"/>
          <w:lang w:val="lt-LT" w:eastAsia="lt-LT"/>
        </w:rPr>
      </w:pPr>
      <w:r>
        <w:rPr>
          <w:color w:val="000000"/>
          <w:szCs w:val="24"/>
          <w:lang w:val="lt-LT" w:eastAsia="lt-LT"/>
        </w:rPr>
      </w:r>
    </w:p>
    <w:p>
      <w:pPr>
        <w:pStyle w:val="Normal"/>
        <w:jc w:val="both"/>
        <w:rPr>
          <w:color w:val="000000"/>
          <w:szCs w:val="24"/>
          <w:lang w:val="lt-LT" w:eastAsia="lt-LT"/>
        </w:rPr>
      </w:pPr>
      <w:r>
        <w:rPr>
          <w:szCs w:val="24"/>
          <w:lang w:val="lt-LT"/>
        </w:rPr>
        <w:t>Savivaldybės meras</w:t>
      </w:r>
      <w:r>
        <w:rPr>
          <w:szCs w:val="24"/>
          <w:lang w:val="lt-LT" w:eastAsia="lt-LT"/>
        </w:rPr>
        <w:t> </w:t>
        <w:tab/>
        <w:tab/>
        <w:tab/>
        <w:tab/>
        <w:tab/>
        <w:t xml:space="preserve">  Laimutis Ragaišis</w:t>
      </w:r>
    </w:p>
    <w:p>
      <w:pPr>
        <w:pStyle w:val="Normal"/>
        <w:tabs>
          <w:tab w:val="left" w:pos="1293" w:leader="none"/>
          <w:tab w:val="left" w:pos="9240" w:leader="none"/>
        </w:tabs>
        <w:jc w:val="both"/>
        <w:rPr>
          <w:szCs w:val="24"/>
          <w:lang w:val="lt-LT"/>
        </w:rPr>
      </w:pPr>
      <w:r>
        <w:rPr>
          <w:szCs w:val="24"/>
          <w:lang w:val="lt-LT"/>
        </w:rPr>
      </w:r>
    </w:p>
    <w:p>
      <w:pPr>
        <w:pStyle w:val="Normal"/>
        <w:tabs>
          <w:tab w:val="left" w:pos="1293" w:leader="none"/>
          <w:tab w:val="left" w:pos="9240" w:leader="none"/>
        </w:tabs>
        <w:jc w:val="both"/>
        <w:rPr>
          <w:szCs w:val="24"/>
          <w:lang w:val="lt-LT"/>
        </w:rPr>
      </w:pPr>
      <w:r>
        <w:rPr>
          <w:szCs w:val="24"/>
          <w:lang w:val="lt-LT"/>
        </w:rPr>
      </w:r>
    </w:p>
    <w:p>
      <w:pPr>
        <w:pStyle w:val="Normal"/>
        <w:tabs>
          <w:tab w:val="left" w:pos="1293" w:leader="none"/>
          <w:tab w:val="left" w:pos="9240" w:leader="none"/>
        </w:tabs>
        <w:jc w:val="both"/>
        <w:rPr>
          <w:szCs w:val="24"/>
          <w:lang w:val="lt-LT"/>
        </w:rPr>
      </w:pPr>
      <w:r>
        <w:rPr>
          <w:szCs w:val="24"/>
          <w:lang w:val="lt-LT"/>
        </w:rPr>
      </w:r>
    </w:p>
    <w:p>
      <w:pPr>
        <w:pStyle w:val="Normal"/>
        <w:tabs>
          <w:tab w:val="left" w:pos="1293" w:leader="none"/>
          <w:tab w:val="left" w:pos="9240" w:leader="none"/>
        </w:tabs>
        <w:jc w:val="both"/>
        <w:rPr>
          <w:szCs w:val="24"/>
          <w:lang w:val="lt-LT"/>
        </w:rPr>
      </w:pPr>
      <w:r>
        <w:rPr>
          <w:szCs w:val="24"/>
          <w:lang w:val="lt-LT"/>
        </w:rPr>
      </w:r>
    </w:p>
    <w:p>
      <w:pPr>
        <w:pStyle w:val="Normal"/>
        <w:tabs>
          <w:tab w:val="left" w:pos="1134" w:leader="none"/>
          <w:tab w:val="left" w:pos="1293" w:leader="none"/>
          <w:tab w:val="left" w:pos="9240" w:leader="none"/>
        </w:tabs>
        <w:jc w:val="both"/>
        <w:rPr>
          <w:szCs w:val="24"/>
          <w:lang w:val="lt-LT"/>
        </w:rPr>
      </w:pPr>
      <w:r>
        <w:rPr>
          <w:szCs w:val="24"/>
          <w:lang w:val="lt-LT"/>
        </w:rPr>
      </w:r>
    </w:p>
    <w:p>
      <w:pPr>
        <w:pStyle w:val="Normal"/>
        <w:tabs>
          <w:tab w:val="left" w:pos="1134" w:leader="none"/>
          <w:tab w:val="left" w:pos="1293" w:leader="none"/>
          <w:tab w:val="left" w:pos="9240" w:leader="none"/>
        </w:tabs>
        <w:jc w:val="both"/>
        <w:rPr>
          <w:szCs w:val="24"/>
          <w:lang w:val="lt-LT"/>
        </w:rPr>
      </w:pPr>
      <w:r>
        <w:rPr>
          <w:szCs w:val="24"/>
          <w:lang w:val="lt-LT"/>
        </w:rPr>
      </w:r>
    </w:p>
    <w:p>
      <w:pPr>
        <w:pStyle w:val="Normal"/>
        <w:widowControl/>
        <w:tabs>
          <w:tab w:val="clear" w:pos="1293"/>
          <w:tab w:val="left" w:pos="1276" w:leader="none"/>
          <w:tab w:val="left" w:pos="4253" w:leader="none"/>
          <w:tab w:val="left" w:pos="5387" w:leader="none"/>
          <w:tab w:val="left" w:pos="6663" w:leader="none"/>
        </w:tabs>
        <w:overflowPunct w:val="true"/>
        <w:ind w:left="5103" w:hanging="0"/>
        <w:textAlignment w:val="auto"/>
        <w:rPr>
          <w:lang w:val="lt-LT"/>
        </w:rPr>
      </w:pPr>
      <w:r>
        <w:rPr>
          <w:color w:val="000000"/>
          <w:szCs w:val="24"/>
          <w:lang w:val="lt-LT" w:eastAsia="lt-LT"/>
        </w:rPr>
        <w:t>PATVIRTINTA</w:t>
      </w:r>
    </w:p>
    <w:p>
      <w:pPr>
        <w:pStyle w:val="Normal"/>
        <w:widowControl/>
        <w:tabs>
          <w:tab w:val="clear" w:pos="1293"/>
          <w:tab w:val="left" w:pos="1276" w:leader="none"/>
          <w:tab w:val="left" w:pos="4253" w:leader="none"/>
          <w:tab w:val="left" w:pos="5387" w:leader="none"/>
          <w:tab w:val="left" w:pos="6663" w:leader="none"/>
        </w:tabs>
        <w:overflowPunct w:val="true"/>
        <w:ind w:left="5103" w:hanging="0"/>
        <w:jc w:val="both"/>
        <w:textAlignment w:val="auto"/>
        <w:rPr>
          <w:lang w:val="lt-LT"/>
        </w:rPr>
      </w:pPr>
      <w:r>
        <w:rPr>
          <w:color w:val="000000"/>
          <w:szCs w:val="24"/>
          <w:lang w:val="lt-LT" w:eastAsia="lt-LT"/>
        </w:rPr>
        <w:t>Ignalinos rajono savivaldybės tarybos</w:t>
      </w:r>
    </w:p>
    <w:p>
      <w:pPr>
        <w:pStyle w:val="Normal"/>
        <w:widowControl/>
        <w:tabs>
          <w:tab w:val="left" w:pos="1293" w:leader="none"/>
          <w:tab w:val="left" w:pos="4253" w:leader="none"/>
          <w:tab w:val="left" w:pos="5387" w:leader="none"/>
          <w:tab w:val="left" w:pos="6663" w:leader="none"/>
        </w:tabs>
        <w:overflowPunct w:val="true"/>
        <w:ind w:left="5103" w:hanging="0"/>
        <w:jc w:val="both"/>
        <w:textAlignment w:val="auto"/>
        <w:rPr>
          <w:lang w:val="lt-LT"/>
        </w:rPr>
      </w:pPr>
      <w:r>
        <w:rPr>
          <w:color w:val="000000"/>
          <w:szCs w:val="24"/>
          <w:lang w:val="lt-LT" w:eastAsia="lt-LT"/>
        </w:rPr>
        <w:t>2023 m. lapkričio 30 d. sprendimu Nr. T-228</w:t>
      </w:r>
    </w:p>
    <w:p>
      <w:pPr>
        <w:pStyle w:val="Normal"/>
        <w:widowControl/>
        <w:tabs>
          <w:tab w:val="clear" w:pos="1293"/>
          <w:tab w:val="left" w:pos="1276" w:leader="none"/>
          <w:tab w:val="left" w:pos="2835" w:leader="none"/>
          <w:tab w:val="left" w:pos="2977" w:leader="none"/>
          <w:tab w:val="left" w:pos="5387" w:leader="none"/>
          <w:tab w:val="left" w:pos="6663" w:leader="none"/>
        </w:tabs>
        <w:overflowPunct w:val="true"/>
        <w:jc w:val="center"/>
        <w:textAlignment w:val="auto"/>
        <w:rPr>
          <w:color w:val="000000"/>
          <w:szCs w:val="24"/>
          <w:lang w:val="lt-LT" w:eastAsia="lt-LT"/>
        </w:rPr>
      </w:pPr>
      <w:r>
        <w:rPr>
          <w:color w:val="000000"/>
          <w:szCs w:val="24"/>
          <w:lang w:val="lt-LT" w:eastAsia="lt-LT"/>
        </w:rPr>
      </w:r>
    </w:p>
    <w:p>
      <w:pPr>
        <w:pStyle w:val="Normal"/>
        <w:jc w:val="center"/>
        <w:rPr>
          <w:rFonts w:eastAsia="Calibri"/>
          <w:b/>
          <w:b/>
          <w:bCs/>
          <w:sz w:val="22"/>
          <w:szCs w:val="22"/>
          <w:lang w:val="lt-LT"/>
        </w:rPr>
      </w:pPr>
      <w:r>
        <w:rPr>
          <w:rFonts w:eastAsia="Calibri"/>
          <w:b/>
          <w:bCs/>
          <w:szCs w:val="24"/>
          <w:lang w:val="lt-LT"/>
        </w:rPr>
        <w:t>MAKSIMALAUS BENDROJO NAUDOJIMO OBJEKTŲ ADMINISTRAVIMO TARIFO APSKAIČIAVIMO TVARKOS APRAŠAS</w:t>
      </w:r>
    </w:p>
    <w:p>
      <w:pPr>
        <w:pStyle w:val="Normal"/>
        <w:jc w:val="center"/>
        <w:rPr>
          <w:rFonts w:eastAsia="Calibri"/>
          <w:sz w:val="22"/>
          <w:szCs w:val="22"/>
          <w:lang w:val="lt-LT"/>
        </w:rPr>
      </w:pPr>
      <w:r>
        <w:rPr>
          <w:rFonts w:eastAsia="Calibri"/>
          <w:sz w:val="22"/>
          <w:szCs w:val="22"/>
          <w:lang w:val="lt-LT"/>
        </w:rPr>
      </w:r>
    </w:p>
    <w:p>
      <w:pPr>
        <w:pStyle w:val="Normal"/>
        <w:jc w:val="center"/>
        <w:rPr>
          <w:rFonts w:eastAsia="Calibri"/>
          <w:b/>
          <w:b/>
          <w:caps/>
          <w:szCs w:val="24"/>
          <w:lang w:val="lt-LT"/>
        </w:rPr>
      </w:pPr>
      <w:r>
        <w:rPr>
          <w:rFonts w:eastAsia="Calibri"/>
          <w:b/>
          <w:caps/>
          <w:szCs w:val="24"/>
          <w:lang w:val="lt-LT"/>
        </w:rPr>
        <w:t>i SKYRIUS</w:t>
      </w:r>
    </w:p>
    <w:p>
      <w:pPr>
        <w:pStyle w:val="Normal"/>
        <w:jc w:val="center"/>
        <w:rPr>
          <w:rFonts w:eastAsia="Calibri"/>
          <w:smallCaps/>
          <w:szCs w:val="24"/>
          <w:lang w:val="lt-LT"/>
        </w:rPr>
      </w:pPr>
      <w:r>
        <w:rPr>
          <w:rFonts w:eastAsia="Calibri"/>
          <w:b/>
          <w:caps/>
          <w:szCs w:val="24"/>
          <w:lang w:val="lt-LT"/>
        </w:rPr>
        <w:t>bENDROSIOS NUOSTa</w:t>
      </w:r>
      <w:r>
        <w:rPr>
          <w:rFonts w:eastAsia="Calibri"/>
          <w:b/>
          <w:smallCaps/>
          <w:szCs w:val="24"/>
          <w:lang w:val="lt-LT"/>
        </w:rPr>
        <w:t>TOS</w:t>
      </w:r>
    </w:p>
    <w:p>
      <w:pPr>
        <w:pStyle w:val="Normal"/>
        <w:rPr>
          <w:rFonts w:eastAsia="Calibri"/>
          <w:sz w:val="22"/>
          <w:szCs w:val="22"/>
          <w:lang w:val="lt-LT"/>
        </w:rPr>
      </w:pPr>
      <w:r>
        <w:rPr>
          <w:rFonts w:eastAsia="Calibri"/>
          <w:sz w:val="22"/>
          <w:szCs w:val="22"/>
          <w:lang w:val="lt-LT"/>
        </w:rPr>
      </w:r>
    </w:p>
    <w:p>
      <w:pPr>
        <w:pStyle w:val="Normal"/>
        <w:tabs>
          <w:tab w:val="left" w:pos="1293" w:leader="none"/>
          <w:tab w:val="left" w:pos="1418" w:leader="none"/>
        </w:tabs>
        <w:ind w:firstLine="1134"/>
        <w:jc w:val="both"/>
        <w:rPr>
          <w:rFonts w:eastAsia="Calibri"/>
          <w:szCs w:val="24"/>
          <w:lang w:val="lt-LT"/>
        </w:rPr>
      </w:pPr>
      <w:r>
        <w:rPr>
          <w:szCs w:val="24"/>
          <w:lang w:val="lt-LT" w:eastAsia="lt-LT"/>
        </w:rPr>
        <w:t>1.</w:t>
        <w:tab/>
      </w:r>
      <w:r>
        <w:rPr>
          <w:rFonts w:eastAsia="Calibri"/>
          <w:szCs w:val="24"/>
          <w:lang w:val="lt-LT"/>
        </w:rPr>
        <w:t>Maksimalaus bendrojo naudojimo objektų administravimo tarifo apskaičiavimo tvarkos aprašas</w:t>
      </w:r>
      <w:r>
        <w:rPr>
          <w:rFonts w:eastAsia="Calibri"/>
          <w:b/>
          <w:bCs/>
          <w:szCs w:val="24"/>
          <w:lang w:val="lt-LT"/>
        </w:rPr>
        <w:t xml:space="preserve"> </w:t>
      </w:r>
      <w:r>
        <w:rPr>
          <w:rFonts w:eastAsia="Calibri"/>
          <w:szCs w:val="24"/>
          <w:lang w:val="lt-LT"/>
        </w:rPr>
        <w:t>(toliau – Aprašas) nustato Ignalinos rajono savivaldybės teritorijoje esančių daugiabučių namų maksimalaus bendrojo naudojimo objektų (toliau – bendrojo naudojimo objektai)  administravimo tarifo apskaičiavimo tvarką, kai bendrojo naudojimo objektai administruojami pagal Lietuvos Respublikos civilinio kodekso 4.84 straipsnį.</w:t>
      </w:r>
    </w:p>
    <w:p>
      <w:pPr>
        <w:pStyle w:val="Normal"/>
        <w:tabs>
          <w:tab w:val="left" w:pos="1293" w:leader="none"/>
          <w:tab w:val="left" w:pos="1418" w:leader="none"/>
        </w:tabs>
        <w:ind w:firstLine="1134"/>
        <w:jc w:val="both"/>
        <w:rPr>
          <w:rFonts w:eastAsia="Calibri"/>
          <w:szCs w:val="24"/>
          <w:lang w:val="lt-LT"/>
        </w:rPr>
      </w:pPr>
      <w:r>
        <w:rPr>
          <w:szCs w:val="24"/>
          <w:lang w:val="lt-LT" w:eastAsia="lt-LT"/>
        </w:rPr>
        <w:t>2.</w:t>
        <w:tab/>
      </w:r>
      <w:r>
        <w:rPr>
          <w:rFonts w:eastAsia="Calibri"/>
          <w:szCs w:val="24"/>
          <w:lang w:val="lt-LT"/>
        </w:rPr>
        <w:t xml:space="preserve">Aprašu privalo vadovautis asmenys, pretenduojantys teikti Ignalinos rajono savivaldybės teritorijoje esančių bendrojo naudojimo objektų administravimo paslaugas, ir Ignalinos rajono savivaldybės vykdomosios institucijos paskirti bendrojo naudojimo objektų administratoriai (toliau – administratoriai). </w:t>
      </w:r>
    </w:p>
    <w:p>
      <w:pPr>
        <w:pStyle w:val="Normal"/>
        <w:tabs>
          <w:tab w:val="left" w:pos="1293" w:leader="none"/>
          <w:tab w:val="left" w:pos="1418" w:leader="none"/>
        </w:tabs>
        <w:ind w:firstLine="1134"/>
        <w:jc w:val="both"/>
        <w:rPr>
          <w:rFonts w:eastAsia="Calibri"/>
          <w:szCs w:val="24"/>
          <w:lang w:val="lt-LT"/>
        </w:rPr>
      </w:pPr>
      <w:r>
        <w:rPr>
          <w:szCs w:val="24"/>
          <w:lang w:val="lt-LT" w:eastAsia="lt-LT"/>
        </w:rPr>
        <w:t>3.</w:t>
        <w:tab/>
      </w:r>
      <w:r>
        <w:rPr>
          <w:rFonts w:eastAsia="Calibri"/>
          <w:szCs w:val="24"/>
          <w:lang w:val="lt-LT"/>
        </w:rPr>
        <w:t>Apraše vartojamos sąvokos suprantamos taip, kaip jos apibrėžtos Lietuvos Respublikos civiliniame kodekse, Lietuvos Respublikos daugiabučių gyvenamųjų namų ir kitos paskirties pastatų savininkų bendrijų įstatyme, Lietuvos Respublikos statybos įstatyme, kitais Lietuvos Respublikos teisės aktų nustatytais privalomaisiais gyvenamųjų namų naudojimo ir priežiūros reikalavimais.</w:t>
      </w:r>
    </w:p>
    <w:p>
      <w:pPr>
        <w:pStyle w:val="Normal"/>
        <w:tabs>
          <w:tab w:val="left" w:pos="1293" w:leader="none"/>
          <w:tab w:val="left" w:pos="1418" w:leader="none"/>
        </w:tabs>
        <w:ind w:firstLine="1134"/>
        <w:jc w:val="both"/>
        <w:rPr>
          <w:rFonts w:eastAsia="Calibri"/>
          <w:szCs w:val="24"/>
          <w:lang w:val="lt-LT"/>
        </w:rPr>
      </w:pPr>
      <w:r>
        <w:rPr>
          <w:szCs w:val="24"/>
          <w:lang w:val="lt-LT" w:eastAsia="lt-LT"/>
        </w:rPr>
        <w:t>4.</w:t>
        <w:tab/>
      </w:r>
      <w:r>
        <w:rPr>
          <w:rFonts w:eastAsia="Calibri"/>
          <w:szCs w:val="24"/>
          <w:lang w:val="lt-LT"/>
        </w:rPr>
        <w:t>Aprašas parengtas vadovaujantis Lietuvos Respublikos civiliu kodeksu, Lietuvos Respublikos Vyriausybės 2001 m. gegužės 23 d. nutarimu Nr. 603 „Dėl Daugiabučio namo bendrojo naudojimo objektų administravimo nuostatų patvirtinimo“ patvirtintais Daugiabučio namo bendrojo naudojimo objektų administravimo nuostatais (toliau – Nuostatai), kitais Lietuvos Respublikos teisės aktų nustatytais privalomaisiais gyvenamųjų namų naudojimo ir priežiūros reikalavimais bei atsižvelgiant į uždarosios akcinės bendrovės „Sistela“ r</w:t>
      </w:r>
      <w:r>
        <w:rPr>
          <w:rFonts w:eastAsia="Calibri"/>
          <w:bCs/>
          <w:szCs w:val="24"/>
          <w:lang w:val="lt-LT"/>
        </w:rPr>
        <w:t>ekomendacijas dėl daugiabučių gyvenamųjų namų administravimo ir priežiūros mokesčio tarifų apskaičiavimų (pagal 2023 m. balandžio mėnesio statinių statybos skaičiuojamąsias kainas)</w:t>
      </w:r>
      <w:r>
        <w:rPr>
          <w:rFonts w:eastAsia="Calibri"/>
          <w:szCs w:val="24"/>
          <w:lang w:val="lt-LT"/>
        </w:rPr>
        <w:t>.</w:t>
      </w:r>
    </w:p>
    <w:p>
      <w:pPr>
        <w:pStyle w:val="Normal"/>
        <w:jc w:val="both"/>
        <w:rPr>
          <w:rFonts w:ascii="Calibri" w:hAnsi="Calibri" w:eastAsia="Calibri"/>
          <w:bCs/>
          <w:sz w:val="22"/>
          <w:szCs w:val="24"/>
          <w:lang w:val="lt-LT" w:eastAsia="lt-LT"/>
        </w:rPr>
      </w:pPr>
      <w:r>
        <w:rPr>
          <w:rFonts w:eastAsia="Calibri" w:ascii="Calibri" w:hAnsi="Calibri"/>
          <w:bCs/>
          <w:sz w:val="22"/>
          <w:szCs w:val="24"/>
          <w:lang w:val="lt-LT" w:eastAsia="lt-LT"/>
        </w:rPr>
      </w:r>
    </w:p>
    <w:p>
      <w:pPr>
        <w:pStyle w:val="Normal"/>
        <w:jc w:val="center"/>
        <w:rPr>
          <w:rFonts w:eastAsia="Calibri"/>
          <w:b/>
          <w:b/>
          <w:szCs w:val="24"/>
          <w:lang w:val="lt-LT"/>
        </w:rPr>
      </w:pPr>
      <w:r>
        <w:rPr>
          <w:rFonts w:eastAsia="Calibri"/>
          <w:b/>
          <w:szCs w:val="24"/>
          <w:lang w:val="lt-LT"/>
        </w:rPr>
        <w:t>II SKYRIUS</w:t>
      </w:r>
    </w:p>
    <w:p>
      <w:pPr>
        <w:pStyle w:val="Normal"/>
        <w:jc w:val="center"/>
        <w:rPr>
          <w:rFonts w:eastAsia="Calibri"/>
          <w:b/>
          <w:b/>
          <w:szCs w:val="24"/>
          <w:lang w:val="lt-LT"/>
        </w:rPr>
      </w:pPr>
      <w:r>
        <w:rPr>
          <w:rFonts w:eastAsia="Calibri"/>
          <w:b/>
          <w:szCs w:val="24"/>
          <w:lang w:val="lt-LT" w:eastAsia="lt-LT"/>
        </w:rPr>
        <w:t>MAKSIMALAUS BENDROJO NAUDOJIMO OBJEKTŲ</w:t>
      </w:r>
      <w:r>
        <w:rPr>
          <w:rFonts w:eastAsia="Calibri"/>
          <w:b/>
          <w:szCs w:val="24"/>
          <w:lang w:val="lt-LT"/>
        </w:rPr>
        <w:t xml:space="preserve"> ADMINISTRAVIMO MOKESČIO TARIFŲ APSKAIČIAVIMAS</w:t>
      </w:r>
    </w:p>
    <w:p>
      <w:pPr>
        <w:pStyle w:val="Normal"/>
        <w:jc w:val="center"/>
        <w:rPr>
          <w:rFonts w:eastAsia="Calibri"/>
          <w:b/>
          <w:b/>
          <w:szCs w:val="24"/>
          <w:lang w:val="lt-LT"/>
        </w:rPr>
      </w:pPr>
      <w:r>
        <w:rPr>
          <w:rFonts w:eastAsia="Calibri"/>
          <w:b/>
          <w:szCs w:val="24"/>
          <w:lang w:val="lt-LT"/>
        </w:rPr>
      </w:r>
    </w:p>
    <w:p>
      <w:pPr>
        <w:pStyle w:val="Normal"/>
        <w:tabs>
          <w:tab w:val="clear" w:pos="1293"/>
          <w:tab w:val="left" w:pos="0" w:leader="none"/>
          <w:tab w:val="left" w:pos="1276" w:leader="none"/>
        </w:tabs>
        <w:ind w:firstLine="1134"/>
        <w:jc w:val="both"/>
        <w:rPr>
          <w:rFonts w:eastAsia="Calibri"/>
          <w:szCs w:val="24"/>
          <w:lang w:val="lt-LT"/>
        </w:rPr>
      </w:pPr>
      <w:r>
        <w:rPr>
          <w:szCs w:val="24"/>
          <w:lang w:val="lt-LT" w:eastAsia="lt-LT"/>
        </w:rPr>
        <w:t xml:space="preserve">5. </w:t>
      </w:r>
      <w:r>
        <w:rPr>
          <w:rFonts w:eastAsia="Calibri"/>
          <w:szCs w:val="24"/>
          <w:lang w:val="lt-LT"/>
        </w:rPr>
        <w:t xml:space="preserve">Maksimalų bendrojo naudojimo objektų administravimo paslaugų tarifą nustato Ignalinos rajono savivaldybės taryba. </w:t>
      </w:r>
    </w:p>
    <w:p>
      <w:pPr>
        <w:pStyle w:val="Normal"/>
        <w:tabs>
          <w:tab w:val="clear" w:pos="1293"/>
          <w:tab w:val="left" w:pos="0" w:leader="none"/>
          <w:tab w:val="left" w:pos="1276" w:leader="none"/>
        </w:tabs>
        <w:ind w:firstLine="1134"/>
        <w:jc w:val="both"/>
        <w:rPr>
          <w:rFonts w:eastAsia="Calibri"/>
          <w:szCs w:val="24"/>
          <w:lang w:val="lt-LT"/>
        </w:rPr>
      </w:pPr>
      <w:r>
        <w:rPr>
          <w:szCs w:val="24"/>
          <w:lang w:val="lt-LT" w:eastAsia="lt-LT"/>
        </w:rPr>
        <w:t xml:space="preserve">6. </w:t>
      </w:r>
      <w:r>
        <w:rPr>
          <w:rFonts w:eastAsia="Calibri"/>
          <w:szCs w:val="24"/>
          <w:lang w:val="lt-LT"/>
        </w:rPr>
        <w:t>Nuostatuose nustatytoms administratoriaus funkcijoms vykdyti rekomenduojamas administratoriaus atliekamų darbų (veiklos) sąrašas pateikiamas Aprašo 1 priede.</w:t>
      </w:r>
    </w:p>
    <w:p>
      <w:pPr>
        <w:pStyle w:val="Normal"/>
        <w:ind w:firstLine="1134"/>
        <w:jc w:val="both"/>
        <w:rPr>
          <w:rFonts w:eastAsia="Calibri"/>
          <w:szCs w:val="24"/>
          <w:lang w:val="lt-LT"/>
        </w:rPr>
      </w:pPr>
      <w:r>
        <w:rPr>
          <w:szCs w:val="24"/>
          <w:lang w:val="lt-LT" w:eastAsia="lt-LT"/>
        </w:rPr>
        <w:t xml:space="preserve">7. </w:t>
      </w:r>
      <w:r>
        <w:rPr>
          <w:rFonts w:eastAsia="Calibri"/>
          <w:szCs w:val="24"/>
          <w:lang w:val="lt-LT"/>
        </w:rPr>
        <w:t>Nenumatytų darbų (veiklos) kaina apskaičiuojama procentais nuo administratoriaus atliekamų darbų (veiklos) apskaičiuotų kainų.</w:t>
      </w:r>
    </w:p>
    <w:p>
      <w:pPr>
        <w:pStyle w:val="Normal"/>
        <w:ind w:firstLine="1134"/>
        <w:jc w:val="both"/>
        <w:rPr>
          <w:rFonts w:eastAsia="Calibri"/>
          <w:szCs w:val="24"/>
          <w:lang w:val="lt-LT"/>
        </w:rPr>
      </w:pPr>
      <w:r>
        <w:rPr>
          <w:szCs w:val="24"/>
          <w:lang w:val="lt-LT" w:eastAsia="lt-LT"/>
        </w:rPr>
        <w:t xml:space="preserve">8. </w:t>
      </w:r>
      <w:r>
        <w:rPr>
          <w:rFonts w:eastAsia="Calibri"/>
          <w:szCs w:val="24"/>
          <w:lang w:val="lt-LT"/>
        </w:rPr>
        <w:t>Bendrojo naudojimo objektų metinės administravimo kainos apskaičiuojamos pagal formulę:</w:t>
      </w:r>
    </w:p>
    <w:p>
      <w:pPr>
        <w:pStyle w:val="Normal"/>
        <w:ind w:firstLine="1134"/>
        <w:jc w:val="both"/>
        <w:rPr>
          <w:szCs w:val="24"/>
          <w:lang w:val="lt-LT" w:eastAsia="lt-LT"/>
        </w:rPr>
      </w:pPr>
      <w:r>
        <w:rPr>
          <w:szCs w:val="24"/>
          <w:lang w:val="lt-LT" w:eastAsia="lt-LT"/>
        </w:rPr>
        <w:t>I</w:t>
      </w:r>
      <w:r>
        <w:rPr>
          <w:szCs w:val="24"/>
          <w:vertAlign w:val="subscript"/>
          <w:lang w:val="lt-LT" w:eastAsia="lt-LT"/>
        </w:rPr>
        <w:t>a</w:t>
      </w:r>
      <w:r>
        <w:rPr>
          <w:szCs w:val="24"/>
          <w:lang w:val="lt-LT" w:eastAsia="lt-LT"/>
        </w:rPr>
        <w:t xml:space="preserve"> = (I</w:t>
      </w:r>
      <w:r>
        <w:rPr>
          <w:szCs w:val="24"/>
          <w:vertAlign w:val="subscript"/>
          <w:lang w:val="lt-LT" w:eastAsia="lt-LT"/>
        </w:rPr>
        <w:t>ak</w:t>
      </w:r>
      <w:r>
        <w:rPr>
          <w:szCs w:val="24"/>
          <w:lang w:val="lt-LT" w:eastAsia="lt-LT"/>
        </w:rPr>
        <w:t xml:space="preserve"> + I</w:t>
      </w:r>
      <w:r>
        <w:rPr>
          <w:szCs w:val="24"/>
          <w:vertAlign w:val="subscript"/>
          <w:lang w:val="lt-LT" w:eastAsia="lt-LT"/>
        </w:rPr>
        <w:t>an</w:t>
      </w:r>
      <w:r>
        <w:rPr>
          <w:szCs w:val="24"/>
          <w:lang w:val="lt-LT" w:eastAsia="lt-LT"/>
        </w:rPr>
        <w:t>) x K</w:t>
      </w:r>
      <w:r>
        <w:rPr>
          <w:szCs w:val="24"/>
          <w:vertAlign w:val="subscript"/>
          <w:lang w:val="lt-LT" w:eastAsia="lt-LT"/>
        </w:rPr>
        <w:t>1</w:t>
      </w:r>
      <w:r>
        <w:rPr>
          <w:szCs w:val="24"/>
          <w:lang w:val="lt-LT" w:eastAsia="lt-LT"/>
        </w:rPr>
        <w:t xml:space="preserve">                                                                                                         </w:t>
      </w:r>
    </w:p>
    <w:p>
      <w:pPr>
        <w:pStyle w:val="Normal"/>
        <w:ind w:firstLine="1134"/>
        <w:jc w:val="both"/>
        <w:rPr>
          <w:szCs w:val="24"/>
          <w:lang w:val="lt-LT" w:eastAsia="lt-LT"/>
        </w:rPr>
      </w:pPr>
      <w:r>
        <w:rPr>
          <w:szCs w:val="24"/>
          <w:lang w:val="lt-LT" w:eastAsia="lt-LT"/>
        </w:rPr>
        <w:t>(1 formulė):</w:t>
      </w:r>
    </w:p>
    <w:p>
      <w:pPr>
        <w:pStyle w:val="Normal"/>
        <w:ind w:firstLine="1134"/>
        <w:jc w:val="both"/>
        <w:rPr>
          <w:szCs w:val="24"/>
          <w:lang w:val="lt-LT" w:eastAsia="lt-LT"/>
        </w:rPr>
      </w:pPr>
      <w:r>
        <w:rPr>
          <w:szCs w:val="24"/>
          <w:lang w:val="lt-LT" w:eastAsia="lt-LT"/>
        </w:rPr>
        <w:t>I</w:t>
      </w:r>
      <w:r>
        <w:rPr>
          <w:szCs w:val="24"/>
          <w:vertAlign w:val="subscript"/>
          <w:lang w:val="lt-LT" w:eastAsia="lt-LT"/>
        </w:rPr>
        <w:t>a</w:t>
      </w:r>
      <w:r>
        <w:rPr>
          <w:szCs w:val="24"/>
          <w:lang w:val="lt-LT" w:eastAsia="lt-LT"/>
        </w:rPr>
        <w:t xml:space="preserve"> – metinė administravimo kaina (Eur);</w:t>
      </w:r>
    </w:p>
    <w:p>
      <w:pPr>
        <w:pStyle w:val="Normal"/>
        <w:ind w:firstLine="1134"/>
        <w:jc w:val="both"/>
        <w:rPr>
          <w:szCs w:val="24"/>
          <w:lang w:val="lt-LT" w:eastAsia="lt-LT"/>
        </w:rPr>
      </w:pPr>
      <w:r>
        <w:rPr>
          <w:szCs w:val="24"/>
          <w:lang w:val="lt-LT" w:eastAsia="lt-LT"/>
        </w:rPr>
        <w:t>I</w:t>
      </w:r>
      <w:r>
        <w:rPr>
          <w:szCs w:val="24"/>
          <w:vertAlign w:val="subscript"/>
          <w:lang w:val="lt-LT" w:eastAsia="lt-LT"/>
        </w:rPr>
        <w:t>ak</w:t>
      </w:r>
      <w:r>
        <w:rPr>
          <w:szCs w:val="24"/>
          <w:lang w:val="lt-LT" w:eastAsia="lt-LT"/>
        </w:rPr>
        <w:t xml:space="preserve"> – metinė administratoriaus darbų kaina (Eur);</w:t>
      </w:r>
    </w:p>
    <w:p>
      <w:pPr>
        <w:pStyle w:val="Normal"/>
        <w:ind w:firstLine="1134"/>
        <w:jc w:val="both"/>
        <w:rPr>
          <w:szCs w:val="24"/>
          <w:lang w:val="lt-LT" w:eastAsia="lt-LT"/>
        </w:rPr>
      </w:pPr>
      <w:r>
        <w:rPr>
          <w:szCs w:val="24"/>
          <w:lang w:val="lt-LT" w:eastAsia="lt-LT"/>
        </w:rPr>
        <w:t>I</w:t>
      </w:r>
      <w:r>
        <w:rPr>
          <w:szCs w:val="24"/>
          <w:vertAlign w:val="subscript"/>
          <w:lang w:val="lt-LT" w:eastAsia="lt-LT"/>
        </w:rPr>
        <w:t>an</w:t>
      </w:r>
      <w:r>
        <w:rPr>
          <w:szCs w:val="24"/>
          <w:lang w:val="lt-LT" w:eastAsia="lt-LT"/>
        </w:rPr>
        <w:t xml:space="preserve"> – metinė administratoriaus nenumatytų darbų kaina (Eur);</w:t>
      </w:r>
    </w:p>
    <w:p>
      <w:pPr>
        <w:pStyle w:val="Normal"/>
        <w:ind w:firstLine="1134"/>
        <w:jc w:val="both"/>
        <w:rPr>
          <w:szCs w:val="24"/>
          <w:lang w:val="lt-LT" w:eastAsia="lt-LT"/>
        </w:rPr>
      </w:pPr>
      <w:r>
        <w:rPr>
          <w:szCs w:val="24"/>
          <w:lang w:val="lt-LT" w:eastAsia="lt-LT"/>
        </w:rPr>
        <w:t>K</w:t>
      </w:r>
      <w:r>
        <w:rPr>
          <w:szCs w:val="24"/>
          <w:vertAlign w:val="subscript"/>
          <w:lang w:val="lt-LT" w:eastAsia="lt-LT"/>
        </w:rPr>
        <w:t>1</w:t>
      </w:r>
      <w:r>
        <w:rPr>
          <w:szCs w:val="24"/>
          <w:lang w:val="lt-LT" w:eastAsia="lt-LT"/>
        </w:rPr>
        <w:t xml:space="preserve"> – darbo laiko sąnaudų koeficientas, įvertinantis pastatų plotą (Aprašo 2 priedas).</w:t>
      </w:r>
    </w:p>
    <w:p>
      <w:pPr>
        <w:pStyle w:val="Normal"/>
        <w:tabs>
          <w:tab w:val="left" w:pos="1293" w:leader="none"/>
          <w:tab w:val="left" w:pos="1418" w:leader="none"/>
        </w:tabs>
        <w:ind w:firstLine="1134"/>
        <w:jc w:val="both"/>
        <w:rPr>
          <w:rFonts w:eastAsia="Calibri"/>
          <w:szCs w:val="24"/>
          <w:lang w:val="lt-LT"/>
        </w:rPr>
      </w:pPr>
      <w:r>
        <w:rPr>
          <w:szCs w:val="24"/>
          <w:lang w:val="lt-LT" w:eastAsia="lt-LT"/>
        </w:rPr>
        <w:t>9.</w:t>
        <w:tab/>
      </w:r>
      <w:r>
        <w:rPr>
          <w:rFonts w:eastAsia="Calibri"/>
          <w:szCs w:val="24"/>
          <w:lang w:val="lt-LT"/>
        </w:rPr>
        <w:t>Mėnesinis bendrojo naudojimo objektų administravimo mokesčio tarifas apskaičiuojamas pagal formulę:</w:t>
      </w:r>
    </w:p>
    <w:p>
      <w:pPr>
        <w:pStyle w:val="Normal"/>
        <w:ind w:firstLine="1134"/>
        <w:jc w:val="both"/>
        <w:rPr>
          <w:szCs w:val="24"/>
          <w:lang w:val="lt-LT" w:eastAsia="lt-LT"/>
        </w:rPr>
      </w:pPr>
      <w:r>
        <w:rPr>
          <w:szCs w:val="24"/>
          <w:lang w:val="lt-LT" w:eastAsia="lt-LT"/>
        </w:rPr>
        <w:t>T</w:t>
      </w:r>
      <w:r>
        <w:rPr>
          <w:szCs w:val="24"/>
          <w:vertAlign w:val="subscript"/>
          <w:lang w:val="lt-LT" w:eastAsia="lt-LT"/>
        </w:rPr>
        <w:t>a</w:t>
      </w:r>
      <w:r>
        <w:rPr>
          <w:szCs w:val="24"/>
          <w:lang w:val="lt-LT" w:eastAsia="lt-LT"/>
        </w:rPr>
        <w:t xml:space="preserve"> = I</w:t>
      </w:r>
      <w:r>
        <w:rPr>
          <w:szCs w:val="24"/>
          <w:vertAlign w:val="subscript"/>
          <w:lang w:val="lt-LT" w:eastAsia="lt-LT"/>
        </w:rPr>
        <w:t>a</w:t>
      </w:r>
      <w:r>
        <w:rPr>
          <w:szCs w:val="24"/>
          <w:lang w:val="lt-LT" w:eastAsia="lt-LT"/>
        </w:rPr>
        <w:t xml:space="preserve"> x K</w:t>
      </w:r>
      <w:r>
        <w:rPr>
          <w:szCs w:val="24"/>
          <w:vertAlign w:val="subscript"/>
          <w:lang w:val="lt-LT" w:eastAsia="lt-LT"/>
        </w:rPr>
        <w:t xml:space="preserve">2 </w:t>
      </w:r>
      <w:r>
        <w:rPr>
          <w:szCs w:val="24"/>
          <w:lang w:val="lt-LT" w:eastAsia="lt-LT"/>
        </w:rPr>
        <w:t>x K</w:t>
      </w:r>
      <w:r>
        <w:rPr>
          <w:szCs w:val="24"/>
          <w:vertAlign w:val="subscript"/>
          <w:lang w:val="lt-LT" w:eastAsia="lt-LT"/>
        </w:rPr>
        <w:t>3</w:t>
      </w:r>
      <w:r>
        <w:rPr>
          <w:szCs w:val="24"/>
          <w:lang w:val="lt-LT" w:eastAsia="lt-LT"/>
        </w:rPr>
        <w:t xml:space="preserve"> / (S</w:t>
      </w:r>
      <w:r>
        <w:rPr>
          <w:szCs w:val="24"/>
          <w:vertAlign w:val="subscript"/>
          <w:lang w:val="lt-LT" w:eastAsia="lt-LT"/>
        </w:rPr>
        <w:t>n</w:t>
      </w:r>
      <w:r>
        <w:rPr>
          <w:szCs w:val="24"/>
          <w:lang w:val="lt-LT" w:eastAsia="lt-LT"/>
        </w:rPr>
        <w:t xml:space="preserve"> x 12)                                                                                          </w:t>
      </w:r>
    </w:p>
    <w:p>
      <w:pPr>
        <w:pStyle w:val="Normal"/>
        <w:ind w:firstLine="1134"/>
        <w:jc w:val="both"/>
        <w:rPr>
          <w:szCs w:val="24"/>
          <w:lang w:val="lt-LT" w:eastAsia="lt-LT"/>
        </w:rPr>
      </w:pPr>
      <w:r>
        <w:rPr>
          <w:szCs w:val="24"/>
          <w:lang w:val="lt-LT" w:eastAsia="lt-LT"/>
        </w:rPr>
        <w:t>(2 formulė):</w:t>
      </w:r>
    </w:p>
    <w:p>
      <w:pPr>
        <w:pStyle w:val="Normal"/>
        <w:ind w:firstLine="1134"/>
        <w:jc w:val="both"/>
        <w:rPr>
          <w:szCs w:val="24"/>
          <w:lang w:val="lt-LT" w:eastAsia="lt-LT"/>
        </w:rPr>
      </w:pPr>
      <w:r>
        <w:rPr>
          <w:szCs w:val="24"/>
          <w:lang w:val="lt-LT" w:eastAsia="lt-LT"/>
        </w:rPr>
        <w:t>I</w:t>
      </w:r>
      <w:r>
        <w:rPr>
          <w:szCs w:val="24"/>
          <w:vertAlign w:val="subscript"/>
          <w:lang w:val="lt-LT" w:eastAsia="lt-LT"/>
        </w:rPr>
        <w:t>a</w:t>
      </w:r>
      <w:r>
        <w:rPr>
          <w:szCs w:val="24"/>
          <w:lang w:val="lt-LT" w:eastAsia="lt-LT"/>
        </w:rPr>
        <w:t xml:space="preserve"> – metinė administravimo kaina (Eur), nustatyta pagal 8 punktą;</w:t>
      </w:r>
    </w:p>
    <w:p>
      <w:pPr>
        <w:pStyle w:val="Normal"/>
        <w:ind w:firstLine="1134"/>
        <w:jc w:val="both"/>
        <w:rPr>
          <w:szCs w:val="24"/>
          <w:lang w:val="lt-LT" w:eastAsia="lt-LT"/>
        </w:rPr>
      </w:pPr>
      <w:r>
        <w:rPr>
          <w:szCs w:val="24"/>
          <w:lang w:val="lt-LT" w:eastAsia="lt-LT"/>
        </w:rPr>
        <w:t>T</w:t>
      </w:r>
      <w:r>
        <w:rPr>
          <w:szCs w:val="24"/>
          <w:vertAlign w:val="subscript"/>
          <w:lang w:val="lt-LT" w:eastAsia="lt-LT"/>
        </w:rPr>
        <w:t>a</w:t>
      </w:r>
      <w:r>
        <w:rPr>
          <w:szCs w:val="24"/>
          <w:lang w:val="lt-LT" w:eastAsia="lt-LT"/>
        </w:rPr>
        <w:t xml:space="preserve"> – administravimo mokesčio tarifas (Eur / kv. m per mėnesį);</w:t>
      </w:r>
    </w:p>
    <w:p>
      <w:pPr>
        <w:pStyle w:val="Normal"/>
        <w:ind w:firstLine="1134"/>
        <w:jc w:val="both"/>
        <w:rPr>
          <w:szCs w:val="24"/>
          <w:lang w:val="lt-LT" w:eastAsia="lt-LT"/>
        </w:rPr>
      </w:pPr>
      <w:r>
        <w:rPr>
          <w:szCs w:val="24"/>
          <w:lang w:val="lt-LT" w:eastAsia="lt-LT"/>
        </w:rPr>
        <w:t>S</w:t>
      </w:r>
      <w:r>
        <w:rPr>
          <w:szCs w:val="24"/>
          <w:vertAlign w:val="subscript"/>
          <w:lang w:val="lt-LT" w:eastAsia="lt-LT"/>
        </w:rPr>
        <w:t>n</w:t>
      </w:r>
      <w:r>
        <w:rPr>
          <w:szCs w:val="24"/>
          <w:lang w:val="lt-LT" w:eastAsia="lt-LT"/>
        </w:rPr>
        <w:t xml:space="preserve"> – statinio (pastato) bendrasis naudingasis plotas (kv. m);</w:t>
      </w:r>
    </w:p>
    <w:p>
      <w:pPr>
        <w:pStyle w:val="Normal"/>
        <w:ind w:firstLine="1134"/>
        <w:jc w:val="both"/>
        <w:rPr>
          <w:szCs w:val="24"/>
          <w:lang w:val="lt-LT" w:eastAsia="lt-LT"/>
        </w:rPr>
      </w:pPr>
      <w:r>
        <w:rPr>
          <w:szCs w:val="24"/>
          <w:lang w:val="lt-LT" w:eastAsia="lt-LT"/>
        </w:rPr>
        <w:t>K</w:t>
      </w:r>
      <w:r>
        <w:rPr>
          <w:szCs w:val="24"/>
          <w:vertAlign w:val="subscript"/>
          <w:lang w:val="lt-LT" w:eastAsia="lt-LT"/>
        </w:rPr>
        <w:t>2</w:t>
      </w:r>
      <w:r>
        <w:rPr>
          <w:szCs w:val="24"/>
          <w:lang w:val="lt-LT" w:eastAsia="lt-LT"/>
        </w:rPr>
        <w:t xml:space="preserve"> – koeficientas, įvertinantis pastatų eksploatavimo laiką nuo eksploatavimo pradžios (Aprašo 3 priedas);</w:t>
      </w:r>
    </w:p>
    <w:p>
      <w:pPr>
        <w:pStyle w:val="Normal"/>
        <w:ind w:firstLine="1134"/>
        <w:jc w:val="both"/>
        <w:rPr>
          <w:szCs w:val="24"/>
          <w:lang w:val="lt-LT" w:eastAsia="lt-LT"/>
        </w:rPr>
      </w:pPr>
      <w:r>
        <w:rPr>
          <w:szCs w:val="24"/>
          <w:lang w:val="lt-LT" w:eastAsia="lt-LT"/>
        </w:rPr>
        <w:t>K</w:t>
      </w:r>
      <w:r>
        <w:rPr>
          <w:szCs w:val="24"/>
          <w:vertAlign w:val="subscript"/>
          <w:lang w:val="lt-LT" w:eastAsia="lt-LT"/>
        </w:rPr>
        <w:t>3</w:t>
      </w:r>
      <w:r>
        <w:rPr>
          <w:szCs w:val="24"/>
          <w:lang w:val="lt-LT" w:eastAsia="lt-LT"/>
        </w:rPr>
        <w:t xml:space="preserve"> – koeficientas, įvertinantis buitinių patogumų lygį (Aprašo 4 priedas).</w:t>
      </w:r>
    </w:p>
    <w:p>
      <w:pPr>
        <w:pStyle w:val="Normal"/>
        <w:tabs>
          <w:tab w:val="left" w:pos="1293" w:leader="none"/>
          <w:tab w:val="left" w:pos="1560" w:leader="none"/>
        </w:tabs>
        <w:ind w:firstLine="1134"/>
        <w:jc w:val="both"/>
        <w:rPr>
          <w:rFonts w:eastAsia="Calibri"/>
          <w:szCs w:val="24"/>
          <w:lang w:val="lt-LT"/>
        </w:rPr>
      </w:pPr>
      <w:r>
        <w:rPr>
          <w:szCs w:val="24"/>
          <w:lang w:val="lt-LT" w:eastAsia="lt-LT"/>
        </w:rPr>
        <w:t>10.</w:t>
        <w:tab/>
      </w:r>
      <w:r>
        <w:rPr>
          <w:rFonts w:eastAsia="Calibri"/>
          <w:szCs w:val="24"/>
          <w:lang w:val="lt-LT"/>
        </w:rPr>
        <w:t>Nustatant konkretaus pastato bendrojo naudojimo objektų administravimo mokesčio tarifą pagal pasirinkto pastato skaičiuojamąjį tarifą, mokesčio tarifas turi būti koreguojamas atsižvelgiant į pastato eksploatavimo laiką, buitinių patogumų lygį, pastato bendrąjį plotą, taikant pataisos koeficientus:</w:t>
      </w:r>
    </w:p>
    <w:p>
      <w:pPr>
        <w:pStyle w:val="Normal"/>
        <w:ind w:firstLine="1134"/>
        <w:jc w:val="both"/>
        <w:rPr>
          <w:rFonts w:eastAsia="Calibri"/>
          <w:szCs w:val="24"/>
          <w:lang w:val="lt-LT"/>
        </w:rPr>
      </w:pPr>
      <w:r>
        <w:rPr>
          <w:rFonts w:eastAsia="Calibri"/>
          <w:szCs w:val="24"/>
          <w:lang w:val="lt-LT"/>
        </w:rPr>
        <w:t>T</w:t>
      </w:r>
      <w:r>
        <w:rPr>
          <w:rFonts w:eastAsia="Calibri"/>
          <w:szCs w:val="24"/>
          <w:vertAlign w:val="subscript"/>
          <w:lang w:val="lt-LT"/>
        </w:rPr>
        <w:t>ap</w:t>
      </w:r>
      <w:r>
        <w:rPr>
          <w:rFonts w:eastAsia="Calibri"/>
          <w:szCs w:val="24"/>
          <w:lang w:val="lt-LT"/>
        </w:rPr>
        <w:t xml:space="preserve"> = T</w:t>
      </w:r>
      <w:r>
        <w:rPr>
          <w:rFonts w:eastAsia="Calibri"/>
          <w:szCs w:val="24"/>
          <w:vertAlign w:val="subscript"/>
          <w:lang w:val="lt-LT"/>
        </w:rPr>
        <w:t>ab</w:t>
      </w:r>
      <w:r>
        <w:rPr>
          <w:rFonts w:eastAsia="Calibri"/>
          <w:szCs w:val="24"/>
          <w:lang w:val="lt-LT"/>
        </w:rPr>
        <w:t xml:space="preserve"> x K</w:t>
      </w:r>
      <w:r>
        <w:rPr>
          <w:rFonts w:eastAsia="Calibri"/>
          <w:szCs w:val="24"/>
          <w:vertAlign w:val="subscript"/>
          <w:lang w:val="lt-LT"/>
        </w:rPr>
        <w:t>2</w:t>
      </w:r>
      <w:r>
        <w:rPr>
          <w:rFonts w:eastAsia="Calibri"/>
          <w:szCs w:val="24"/>
          <w:lang w:val="lt-LT"/>
        </w:rPr>
        <w:t xml:space="preserve"> x K</w:t>
      </w:r>
      <w:r>
        <w:rPr>
          <w:rFonts w:eastAsia="Calibri"/>
          <w:szCs w:val="24"/>
          <w:vertAlign w:val="subscript"/>
          <w:lang w:val="lt-LT"/>
        </w:rPr>
        <w:t>3</w:t>
      </w:r>
      <w:r>
        <w:rPr>
          <w:rFonts w:eastAsia="Calibri"/>
          <w:szCs w:val="24"/>
          <w:lang w:val="lt-LT"/>
        </w:rPr>
        <w:t xml:space="preserve"> x K</w:t>
      </w:r>
      <w:r>
        <w:rPr>
          <w:rFonts w:eastAsia="Calibri"/>
          <w:szCs w:val="24"/>
          <w:vertAlign w:val="subscript"/>
          <w:lang w:val="lt-LT"/>
        </w:rPr>
        <w:t>4</w:t>
      </w:r>
      <w:r>
        <w:rPr>
          <w:rFonts w:eastAsia="Calibri"/>
          <w:szCs w:val="24"/>
          <w:lang w:val="lt-LT"/>
        </w:rPr>
        <w:t xml:space="preserve">                                                                                            </w:t>
      </w:r>
    </w:p>
    <w:p>
      <w:pPr>
        <w:pStyle w:val="Normal"/>
        <w:ind w:firstLine="1134"/>
        <w:jc w:val="both"/>
        <w:rPr>
          <w:rFonts w:eastAsia="Calibri"/>
          <w:szCs w:val="24"/>
          <w:lang w:val="lt-LT"/>
        </w:rPr>
      </w:pPr>
      <w:r>
        <w:rPr>
          <w:rFonts w:eastAsia="Calibri"/>
          <w:szCs w:val="24"/>
          <w:lang w:val="lt-LT"/>
        </w:rPr>
        <w:t>(3 formulė):</w:t>
      </w:r>
      <w:r>
        <w:rPr>
          <w:rFonts w:eastAsia="Calibri"/>
          <w:szCs w:val="24"/>
          <w:vertAlign w:val="subscript"/>
          <w:lang w:val="lt-LT"/>
        </w:rPr>
        <w:t xml:space="preserve">  </w:t>
      </w:r>
    </w:p>
    <w:p>
      <w:pPr>
        <w:pStyle w:val="Normal"/>
        <w:ind w:firstLine="1134"/>
        <w:jc w:val="both"/>
        <w:rPr>
          <w:rFonts w:eastAsia="Calibri"/>
          <w:szCs w:val="24"/>
          <w:lang w:val="lt-LT"/>
        </w:rPr>
      </w:pPr>
      <w:r>
        <w:rPr>
          <w:rFonts w:eastAsia="Calibri"/>
          <w:szCs w:val="24"/>
          <w:lang w:val="lt-LT"/>
        </w:rPr>
        <w:t>T</w:t>
      </w:r>
      <w:r>
        <w:rPr>
          <w:rFonts w:eastAsia="Calibri"/>
          <w:szCs w:val="24"/>
          <w:vertAlign w:val="subscript"/>
          <w:lang w:val="lt-LT"/>
        </w:rPr>
        <w:t>ap</w:t>
      </w:r>
      <w:r>
        <w:rPr>
          <w:rFonts w:eastAsia="Calibri"/>
          <w:szCs w:val="24"/>
          <w:lang w:val="lt-LT"/>
        </w:rPr>
        <w:t xml:space="preserve"> – konkretaus pastato bendrojo naudojimo objektų administravimo mokesčio tarifas (Eur/kv. m per mėnesį);</w:t>
      </w:r>
    </w:p>
    <w:p>
      <w:pPr>
        <w:pStyle w:val="Normal"/>
        <w:ind w:firstLine="1134"/>
        <w:jc w:val="both"/>
        <w:rPr>
          <w:rFonts w:eastAsia="Calibri"/>
          <w:szCs w:val="24"/>
          <w:lang w:val="lt-LT"/>
        </w:rPr>
      </w:pPr>
      <w:r>
        <w:rPr>
          <w:rFonts w:eastAsia="Calibri"/>
          <w:szCs w:val="24"/>
          <w:lang w:val="lt-LT"/>
        </w:rPr>
        <w:t>T</w:t>
      </w:r>
      <w:r>
        <w:rPr>
          <w:rFonts w:eastAsia="Calibri"/>
          <w:szCs w:val="24"/>
          <w:vertAlign w:val="subscript"/>
          <w:lang w:val="lt-LT"/>
        </w:rPr>
        <w:t>ab</w:t>
      </w:r>
      <w:r>
        <w:rPr>
          <w:rFonts w:eastAsia="Calibri"/>
          <w:szCs w:val="24"/>
          <w:lang w:val="lt-LT"/>
        </w:rPr>
        <w:t xml:space="preserve"> – maksimalus administravimo mokesčio tarifas;</w:t>
      </w:r>
    </w:p>
    <w:p>
      <w:pPr>
        <w:pStyle w:val="Normal"/>
        <w:ind w:firstLine="1134"/>
        <w:jc w:val="both"/>
        <w:rPr>
          <w:rFonts w:eastAsia="Calibri"/>
          <w:szCs w:val="24"/>
          <w:lang w:val="lt-LT"/>
        </w:rPr>
      </w:pPr>
      <w:r>
        <w:rPr>
          <w:rFonts w:eastAsia="Calibri"/>
          <w:szCs w:val="24"/>
          <w:lang w:val="lt-LT"/>
        </w:rPr>
        <w:t>K</w:t>
      </w:r>
      <w:r>
        <w:rPr>
          <w:rFonts w:eastAsia="Calibri"/>
          <w:szCs w:val="24"/>
          <w:vertAlign w:val="subscript"/>
          <w:lang w:val="lt-LT"/>
        </w:rPr>
        <w:t>2</w:t>
      </w:r>
      <w:r>
        <w:rPr>
          <w:rFonts w:eastAsia="Calibri"/>
          <w:szCs w:val="24"/>
          <w:lang w:val="lt-LT"/>
        </w:rPr>
        <w:t xml:space="preserve"> – koeficientas, įvertinantis pastatų eksploatavimo laiką nuo eksploatacijos pradžios (Aprašo 3 priedas);</w:t>
      </w:r>
    </w:p>
    <w:p>
      <w:pPr>
        <w:pStyle w:val="Normal"/>
        <w:ind w:firstLine="1134"/>
        <w:jc w:val="both"/>
        <w:rPr>
          <w:rFonts w:eastAsia="Calibri"/>
          <w:szCs w:val="24"/>
          <w:lang w:val="lt-LT"/>
        </w:rPr>
      </w:pPr>
      <w:r>
        <w:rPr>
          <w:rFonts w:eastAsia="Calibri"/>
          <w:szCs w:val="24"/>
          <w:lang w:val="lt-LT"/>
        </w:rPr>
        <w:t>K</w:t>
      </w:r>
      <w:r>
        <w:rPr>
          <w:rFonts w:eastAsia="Calibri"/>
          <w:szCs w:val="24"/>
          <w:vertAlign w:val="subscript"/>
          <w:lang w:val="lt-LT"/>
        </w:rPr>
        <w:t>3</w:t>
      </w:r>
      <w:r>
        <w:rPr>
          <w:rFonts w:eastAsia="Calibri"/>
          <w:szCs w:val="24"/>
          <w:lang w:val="lt-LT"/>
        </w:rPr>
        <w:t xml:space="preserve"> – koeficientas, įvertinantis buitinių patogumų lygį (Aprašo 4 priedas);</w:t>
      </w:r>
    </w:p>
    <w:p>
      <w:pPr>
        <w:pStyle w:val="Normal"/>
        <w:ind w:firstLine="1134"/>
        <w:jc w:val="both"/>
        <w:rPr>
          <w:rFonts w:eastAsia="Calibri"/>
          <w:szCs w:val="24"/>
          <w:lang w:val="lt-LT"/>
        </w:rPr>
      </w:pPr>
      <w:r>
        <w:rPr>
          <w:rFonts w:eastAsia="Calibri"/>
          <w:szCs w:val="24"/>
          <w:lang w:val="lt-LT"/>
        </w:rPr>
        <w:t>K</w:t>
      </w:r>
      <w:r>
        <w:rPr>
          <w:rFonts w:eastAsia="Calibri"/>
          <w:szCs w:val="24"/>
          <w:vertAlign w:val="subscript"/>
          <w:lang w:val="lt-LT"/>
        </w:rPr>
        <w:t>4</w:t>
      </w:r>
      <w:r>
        <w:rPr>
          <w:rFonts w:eastAsia="Calibri"/>
          <w:szCs w:val="24"/>
          <w:lang w:val="lt-LT"/>
        </w:rPr>
        <w:t xml:space="preserve"> – koeficientas, įvertinantis pastato bendrąjį plotą (Aprašo 5 priedas).</w:t>
      </w:r>
    </w:p>
    <w:p>
      <w:pPr>
        <w:pStyle w:val="Normal"/>
        <w:jc w:val="center"/>
        <w:rPr>
          <w:rFonts w:eastAsia="Calibri"/>
          <w:b/>
          <w:b/>
          <w:szCs w:val="24"/>
          <w:lang w:val="lt-LT"/>
        </w:rPr>
      </w:pPr>
      <w:r>
        <w:rPr>
          <w:rFonts w:eastAsia="Calibri"/>
          <w:b/>
          <w:szCs w:val="24"/>
          <w:lang w:val="lt-LT"/>
        </w:rPr>
      </w:r>
    </w:p>
    <w:p>
      <w:pPr>
        <w:pStyle w:val="Normal"/>
        <w:jc w:val="center"/>
        <w:rPr>
          <w:rFonts w:eastAsia="Calibri"/>
          <w:b/>
          <w:b/>
          <w:szCs w:val="24"/>
          <w:lang w:val="lt-LT"/>
        </w:rPr>
      </w:pPr>
      <w:r>
        <w:rPr>
          <w:rFonts w:eastAsia="Calibri"/>
          <w:b/>
          <w:szCs w:val="24"/>
          <w:lang w:val="lt-LT"/>
        </w:rPr>
        <w:t>III SKYRIUS</w:t>
      </w:r>
    </w:p>
    <w:p>
      <w:pPr>
        <w:pStyle w:val="Normal"/>
        <w:jc w:val="center"/>
        <w:rPr>
          <w:rFonts w:eastAsia="Calibri"/>
          <w:b/>
          <w:b/>
          <w:szCs w:val="24"/>
          <w:lang w:val="lt-LT"/>
        </w:rPr>
      </w:pPr>
      <w:r>
        <w:rPr>
          <w:rFonts w:eastAsia="Calibri"/>
          <w:b/>
          <w:szCs w:val="24"/>
          <w:lang w:val="lt-LT"/>
        </w:rPr>
        <w:t>BAIGIAMOSIOS NUOSTATOS</w:t>
      </w:r>
    </w:p>
    <w:p>
      <w:pPr>
        <w:pStyle w:val="Normal"/>
        <w:jc w:val="center"/>
        <w:rPr>
          <w:rFonts w:eastAsia="Calibri"/>
          <w:b/>
          <w:b/>
          <w:szCs w:val="24"/>
          <w:lang w:val="lt-LT"/>
        </w:rPr>
      </w:pPr>
      <w:r>
        <w:rPr>
          <w:rFonts w:eastAsia="Calibri"/>
          <w:b/>
          <w:szCs w:val="24"/>
          <w:lang w:val="lt-LT"/>
        </w:rPr>
      </w:r>
    </w:p>
    <w:p>
      <w:pPr>
        <w:pStyle w:val="Normal"/>
        <w:tabs>
          <w:tab w:val="left" w:pos="1293" w:leader="none"/>
          <w:tab w:val="left" w:pos="1560" w:leader="none"/>
        </w:tabs>
        <w:ind w:firstLine="1134"/>
        <w:jc w:val="both"/>
        <w:rPr>
          <w:rFonts w:eastAsia="Calibri"/>
          <w:szCs w:val="24"/>
          <w:lang w:val="lt-LT"/>
        </w:rPr>
      </w:pPr>
      <w:r>
        <w:rPr>
          <w:szCs w:val="24"/>
          <w:lang w:val="lt-LT" w:eastAsia="lt-LT"/>
        </w:rPr>
        <w:t>11.</w:t>
        <w:tab/>
      </w:r>
      <w:r>
        <w:rPr>
          <w:rFonts w:eastAsia="Calibri"/>
          <w:szCs w:val="24"/>
          <w:lang w:val="lt-LT"/>
        </w:rPr>
        <w:t>Aprašas keičiamas Ignalinos rajono savivaldybės tarybos sprendimu.</w:t>
      </w:r>
    </w:p>
    <w:p>
      <w:pPr>
        <w:pStyle w:val="Normal"/>
        <w:tabs>
          <w:tab w:val="left" w:pos="1293" w:leader="none"/>
          <w:tab w:val="left" w:pos="1560" w:leader="none"/>
        </w:tabs>
        <w:ind w:firstLine="1134"/>
        <w:jc w:val="both"/>
        <w:rPr>
          <w:rFonts w:eastAsia="Calibri"/>
          <w:szCs w:val="24"/>
          <w:lang w:val="lt-LT"/>
        </w:rPr>
      </w:pPr>
      <w:r>
        <w:rPr>
          <w:szCs w:val="24"/>
          <w:lang w:val="lt-LT" w:eastAsia="lt-LT"/>
        </w:rPr>
        <w:t>12.</w:t>
        <w:tab/>
      </w:r>
      <w:r>
        <w:rPr>
          <w:rFonts w:eastAsia="Lucida Sans Unicode"/>
          <w:kern w:val="2"/>
          <w:szCs w:val="24"/>
          <w:lang w:val="lt-LT" w:eastAsia="zh-CN" w:bidi="hi-IN"/>
        </w:rPr>
        <w:t>Klausimai, kurie neaptarti Apraše, sprendžiami vadovaujantis Lietuvos Respublikos civiliniu kodeksu, įstatymais ir kitais norminiais teisės aktais.</w:t>
      </w:r>
    </w:p>
    <w:p>
      <w:pPr>
        <w:pStyle w:val="Normal"/>
        <w:jc w:val="center"/>
        <w:rPr>
          <w:rFonts w:eastAsia="Calibri"/>
          <w:szCs w:val="24"/>
          <w:lang w:val="lt-LT"/>
        </w:rPr>
      </w:pPr>
      <w:r>
        <w:rPr>
          <w:rFonts w:eastAsia="Calibri"/>
          <w:szCs w:val="24"/>
          <w:lang w:val="lt-LT"/>
        </w:rPr>
        <w:t>___________________</w:t>
      </w:r>
    </w:p>
    <w:p>
      <w:pPr>
        <w:pStyle w:val="Normal"/>
        <w:jc w:val="center"/>
        <w:rPr>
          <w:rFonts w:eastAsia="Calibri"/>
          <w:szCs w:val="24"/>
          <w:lang w:val="lt-LT"/>
        </w:rPr>
      </w:pPr>
      <w:r>
        <w:rPr>
          <w:rFonts w:eastAsia="Calibri"/>
          <w:szCs w:val="24"/>
          <w:lang w:val="lt-LT"/>
        </w:rPr>
      </w:r>
    </w:p>
    <w:p>
      <w:pPr>
        <w:pStyle w:val="Normal"/>
        <w:jc w:val="center"/>
        <w:rPr>
          <w:rFonts w:eastAsia="Calibri"/>
          <w:szCs w:val="24"/>
          <w:lang w:val="lt-LT"/>
        </w:rPr>
      </w:pPr>
      <w:r>
        <w:rPr>
          <w:rFonts w:eastAsia="Calibri"/>
          <w:szCs w:val="24"/>
          <w:lang w:val="lt-LT"/>
        </w:rPr>
      </w:r>
    </w:p>
    <w:p>
      <w:pPr>
        <w:pStyle w:val="Normal"/>
        <w:rPr>
          <w:rFonts w:eastAsia="Calibri"/>
          <w:szCs w:val="24"/>
          <w:lang w:val="lt-LT"/>
        </w:rPr>
      </w:pPr>
      <w:r>
        <w:rPr>
          <w:rFonts w:eastAsia="Calibri"/>
          <w:szCs w:val="24"/>
          <w:lang w:val="lt-LT"/>
        </w:rPr>
      </w:r>
      <w:r>
        <w:br w:type="page"/>
      </w:r>
    </w:p>
    <w:p>
      <w:pPr>
        <w:pStyle w:val="Normal"/>
        <w:ind w:left="5387" w:hanging="0"/>
        <w:rPr>
          <w:rFonts w:eastAsia="Calibri"/>
          <w:szCs w:val="24"/>
          <w:lang w:val="lt-LT"/>
        </w:rPr>
      </w:pPr>
      <w:r>
        <w:rPr>
          <w:rFonts w:eastAsia="Calibri"/>
          <w:szCs w:val="24"/>
          <w:lang w:val="lt-LT"/>
        </w:rPr>
        <w:t xml:space="preserve">Maksimalaus bendrojo naudojimo objektų administravimo tarifo apskaičiavimo tvarkos aprašo </w:t>
      </w:r>
    </w:p>
    <w:p>
      <w:pPr>
        <w:pStyle w:val="Normal"/>
        <w:ind w:left="5387" w:hanging="0"/>
        <w:rPr>
          <w:rFonts w:eastAsia="Calibri"/>
          <w:szCs w:val="24"/>
          <w:lang w:val="lt-LT"/>
        </w:rPr>
      </w:pPr>
      <w:r>
        <w:rPr>
          <w:rFonts w:eastAsia="Calibri"/>
          <w:szCs w:val="24"/>
          <w:lang w:val="lt-LT"/>
        </w:rPr>
        <w:t>1 priedas</w:t>
      </w:r>
    </w:p>
    <w:p>
      <w:pPr>
        <w:pStyle w:val="Normal"/>
        <w:ind w:left="5387" w:hanging="0"/>
        <w:rPr>
          <w:rFonts w:eastAsia="Calibri"/>
          <w:szCs w:val="24"/>
          <w:lang w:val="lt-LT"/>
        </w:rPr>
      </w:pPr>
      <w:r>
        <w:rPr>
          <w:rFonts w:eastAsia="Calibri"/>
          <w:szCs w:val="24"/>
          <w:lang w:val="lt-LT"/>
        </w:rPr>
      </w:r>
    </w:p>
    <w:p>
      <w:pPr>
        <w:pStyle w:val="Normal"/>
        <w:ind w:left="5387" w:hanging="0"/>
        <w:rPr>
          <w:rFonts w:eastAsia="Calibri"/>
          <w:szCs w:val="24"/>
          <w:lang w:val="lt-LT"/>
        </w:rPr>
      </w:pPr>
      <w:r>
        <w:rPr>
          <w:rFonts w:eastAsia="Calibri"/>
          <w:szCs w:val="24"/>
          <w:lang w:val="lt-LT"/>
        </w:rPr>
      </w:r>
    </w:p>
    <w:p>
      <w:pPr>
        <w:pStyle w:val="Normal"/>
        <w:jc w:val="center"/>
        <w:rPr>
          <w:rFonts w:eastAsia="Calibri"/>
          <w:b/>
          <w:b/>
          <w:bCs/>
          <w:szCs w:val="24"/>
          <w:lang w:val="lt-LT" w:eastAsia="lt-LT"/>
        </w:rPr>
      </w:pPr>
      <w:r>
        <w:rPr>
          <w:rFonts w:eastAsia="Calibri"/>
          <w:b/>
          <w:bCs/>
          <w:szCs w:val="24"/>
          <w:lang w:val="lt-LT" w:eastAsia="lt-LT"/>
        </w:rPr>
        <w:t xml:space="preserve">ADMINISTRATORIAUS ATLIEKAMŲ DARBŲ (VEIKLOS) SĄRAŠAS </w:t>
      </w:r>
    </w:p>
    <w:p>
      <w:pPr>
        <w:pStyle w:val="Normal"/>
        <w:jc w:val="both"/>
        <w:rPr>
          <w:rFonts w:eastAsia="Calibri"/>
          <w:b/>
          <w:b/>
          <w:szCs w:val="24"/>
          <w:lang w:val="lt-LT"/>
        </w:rPr>
      </w:pPr>
      <w:r>
        <w:rPr>
          <w:rFonts w:eastAsia="Calibri"/>
          <w:b/>
          <w:szCs w:val="24"/>
          <w:lang w:val="lt-LT"/>
        </w:rPr>
      </w:r>
    </w:p>
    <w:tbl>
      <w:tblPr>
        <w:tblW w:w="89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0"/>
        <w:gridCol w:w="5804"/>
        <w:gridCol w:w="2552"/>
      </w:tblGrid>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Eil. Nr.</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Darbo (veiklos) pavadinimas, funkcijos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Skaičiuojamosios darbo laiko sąnaudos žm. / val. per metus</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1</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2</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3</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szCs w:val="24"/>
                <w:lang w:val="lt-LT"/>
              </w:rPr>
            </w:pPr>
            <w:r>
              <w:rPr>
                <w:rFonts w:eastAsia="Calibri"/>
                <w:bCs/>
                <w:szCs w:val="24"/>
                <w:lang w:val="lt-LT"/>
              </w:rPr>
              <w:t>1.</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Sudaro ir tvarko namų butų ir kitų patalpų (toliau – patalpos) ir patalpų savininkų (naudotojų) sąrašą pagal VĮ Registrų centro ir patalpų savininkų pateiktus duomenis, sudaro ir tvarko namo bendrojo naudojimo objektų aprašą.</w:t>
            </w:r>
          </w:p>
          <w:p>
            <w:pPr>
              <w:pStyle w:val="Normal"/>
              <w:widowControl w:val="false"/>
              <w:jc w:val="both"/>
              <w:rPr>
                <w:rFonts w:eastAsia="Calibri"/>
                <w:b/>
                <w:b/>
                <w:szCs w:val="24"/>
                <w:lang w:val="lt-LT"/>
              </w:rPr>
            </w:pPr>
            <w:r>
              <w:rPr>
                <w:rFonts w:eastAsia="Calibri"/>
                <w:szCs w:val="24"/>
                <w:lang w:val="lt-LT" w:eastAsia="lt-LT"/>
              </w:rPr>
              <w:t>Nuostatų II skyriaus 4.1 ir 4.2 papunkčiai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szCs w:val="24"/>
                <w:lang w:val="lt-LT"/>
              </w:rPr>
            </w:pPr>
            <w:r>
              <w:rPr>
                <w:rFonts w:eastAsia="Calibri"/>
                <w:bCs/>
                <w:szCs w:val="24"/>
                <w:lang w:val="lt-LT"/>
              </w:rPr>
              <w:t>3,00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2.</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Organizuoja namo techninę priežiūrą, bendrosios dalinės nuosavybės teise ar kitais įstatymų nustatytais pagrindais patalpų savininkų naudojamo ir (ar) valdomo žemės sklypo priežiūrą.</w:t>
            </w:r>
          </w:p>
          <w:p>
            <w:pPr>
              <w:pStyle w:val="Normal"/>
              <w:widowControl w:val="false"/>
              <w:jc w:val="both"/>
              <w:rPr>
                <w:rFonts w:eastAsia="Calibri"/>
                <w:b/>
                <w:b/>
                <w:szCs w:val="24"/>
                <w:lang w:val="lt-LT"/>
              </w:rPr>
            </w:pPr>
            <w:r>
              <w:rPr>
                <w:rFonts w:eastAsia="Calibri"/>
                <w:szCs w:val="24"/>
                <w:lang w:val="lt-LT" w:eastAsia="lt-LT"/>
              </w:rPr>
              <w:t>Nuostatų II skyriaus 4.3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6,00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3.</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Rengia ir tvirtina ilgalaikį namo bendrojo naudojamo objektų atnaujinimo planą, apskaičiuoja mėnesinės kaupiamosios įmokos tarifą ir teikia juos patalpų savininkams tvirtinti.</w:t>
            </w:r>
          </w:p>
          <w:p>
            <w:pPr>
              <w:pStyle w:val="Normal"/>
              <w:widowControl w:val="false"/>
              <w:jc w:val="both"/>
              <w:rPr>
                <w:rFonts w:eastAsia="Calibri"/>
                <w:b/>
                <w:b/>
                <w:szCs w:val="24"/>
                <w:lang w:val="lt-LT"/>
              </w:rPr>
            </w:pPr>
            <w:r>
              <w:rPr>
                <w:rFonts w:eastAsia="Calibri"/>
                <w:szCs w:val="24"/>
                <w:lang w:val="lt-LT" w:eastAsia="lt-LT"/>
              </w:rPr>
              <w:t>Nuostatų II skyriaus 4.4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10,00</w:t>
            </w:r>
          </w:p>
        </w:tc>
      </w:tr>
      <w:tr>
        <w:trPr>
          <w:trHeight w:val="1112"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4.</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Organizuoja ir vykdo namo techninės priežiūros, kitų su administruojamu namu susijusių paslaugų ir namo bendrojo naudojamo objektų atnaujinimo darbų pirkimus.</w:t>
            </w:r>
          </w:p>
          <w:p>
            <w:pPr>
              <w:pStyle w:val="Normal"/>
              <w:widowControl w:val="false"/>
              <w:jc w:val="both"/>
              <w:rPr>
                <w:rFonts w:eastAsia="Calibri"/>
                <w:szCs w:val="24"/>
                <w:lang w:val="lt-LT"/>
              </w:rPr>
            </w:pPr>
            <w:r>
              <w:rPr>
                <w:rFonts w:eastAsia="Calibri"/>
                <w:szCs w:val="24"/>
                <w:lang w:val="lt-LT" w:eastAsia="lt-LT"/>
              </w:rPr>
              <w:t>Nuostatų II skyriaus 4.6, 4.6.1, 4.6.2, 4.6.3  papunkčiai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16,00</w:t>
            </w:r>
          </w:p>
        </w:tc>
      </w:tr>
      <w:tr>
        <w:trPr>
          <w:trHeight w:val="861" w:hRule="atLeast"/>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5.</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Teisės aktų nustatytais atvejais ir tvarka dalyvauja name vykdytų statybos darbų užbaigimo procedūrose.</w:t>
            </w:r>
          </w:p>
          <w:p>
            <w:pPr>
              <w:pStyle w:val="Normal"/>
              <w:widowControl w:val="false"/>
              <w:jc w:val="both"/>
              <w:rPr>
                <w:rFonts w:eastAsia="Calibri"/>
                <w:b/>
                <w:b/>
                <w:szCs w:val="24"/>
                <w:lang w:val="lt-LT"/>
              </w:rPr>
            </w:pPr>
            <w:r>
              <w:rPr>
                <w:rFonts w:eastAsia="Calibri"/>
                <w:szCs w:val="24"/>
                <w:lang w:val="lt-LT" w:eastAsia="lt-LT"/>
              </w:rPr>
              <w:t>Nuostatų II skyriaus 4.7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szCs w:val="24"/>
                <w:lang w:val="lt-LT" w:eastAsia="lt-LT"/>
              </w:rPr>
              <w:t>6,00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6.</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Teisės aktų nustatytais atvejais rengia, teikia patalpų savininkams pasiūlymus dėl energiją taupančių priemonių įgyvendinimo ir šaukia patalpų savininkų susirinkimą arba organizuoja balsavimą raštu dėl namo atnaujinimo (modernizavimo).</w:t>
            </w:r>
          </w:p>
          <w:p>
            <w:pPr>
              <w:pStyle w:val="Normal"/>
              <w:widowControl w:val="false"/>
              <w:jc w:val="both"/>
              <w:rPr>
                <w:rFonts w:eastAsia="Calibri"/>
                <w:szCs w:val="24"/>
                <w:lang w:val="lt-LT" w:eastAsia="lt-LT"/>
              </w:rPr>
            </w:pPr>
            <w:r>
              <w:rPr>
                <w:rFonts w:eastAsia="Calibri"/>
                <w:szCs w:val="24"/>
                <w:lang w:val="lt-LT" w:eastAsia="lt-LT"/>
              </w:rPr>
              <w:t>Nuostatų II skyriaus 4.8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2,00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7.</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Teisės aktų nustatytais atvejais ir tvarka šaukia patalpų savininkų susirinkimą arba organizuoja balsavimą raštu dėl namo šildymo ir karšto vandens sistemos prižiūrėtojo (eksploatuotojo) pasirinkimo,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w:t>
            </w:r>
          </w:p>
          <w:p>
            <w:pPr>
              <w:pStyle w:val="Normal"/>
              <w:widowControl w:val="false"/>
              <w:jc w:val="both"/>
              <w:rPr>
                <w:rFonts w:eastAsia="Calibri"/>
                <w:szCs w:val="24"/>
                <w:lang w:val="lt-LT" w:eastAsia="lt-LT"/>
              </w:rPr>
            </w:pPr>
            <w:r>
              <w:rPr>
                <w:rFonts w:eastAsia="Calibri"/>
                <w:szCs w:val="24"/>
                <w:lang w:val="lt-LT" w:eastAsia="lt-LT"/>
              </w:rPr>
              <w:t>Nuostatų II skyriaus 4.9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6,00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8.</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Apskaičiuoja mokėjimus, įmokas, tvarko jų surinkimo ir naudojimo apskaitą. Teisės aktų nustatyta tvarka parengia sąskaitas faktūras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36,00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9.</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Šaukia patalpų savininkų susirinkimus arba organizuoja balsavimą raštu.</w:t>
            </w:r>
          </w:p>
          <w:p>
            <w:pPr>
              <w:pStyle w:val="Normal"/>
              <w:widowControl w:val="false"/>
              <w:jc w:val="both"/>
              <w:rPr>
                <w:rFonts w:eastAsia="Calibri"/>
                <w:szCs w:val="24"/>
                <w:lang w:val="lt-LT" w:eastAsia="lt-LT"/>
              </w:rPr>
            </w:pPr>
            <w:r>
              <w:rPr>
                <w:rFonts w:eastAsia="Calibri"/>
                <w:szCs w:val="24"/>
                <w:lang w:val="lt-LT" w:eastAsia="lt-LT"/>
              </w:rPr>
              <w:t>Nuostatų II skyriaus 4.11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4,00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10.</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Rengia metinę savo veiklos, susijusios su administruojamu namu, ataskaitą, skelbia ją ir teikia patalpų savininkams.</w:t>
            </w:r>
          </w:p>
          <w:p>
            <w:pPr>
              <w:pStyle w:val="Normal"/>
              <w:widowControl w:val="false"/>
              <w:jc w:val="both"/>
              <w:rPr>
                <w:rFonts w:eastAsia="Calibri"/>
                <w:szCs w:val="24"/>
                <w:lang w:val="lt-LT" w:eastAsia="lt-LT"/>
              </w:rPr>
            </w:pPr>
            <w:r>
              <w:rPr>
                <w:rFonts w:eastAsia="Calibri"/>
                <w:szCs w:val="24"/>
                <w:lang w:val="lt-LT" w:eastAsia="lt-LT"/>
              </w:rPr>
              <w:t>Nuostatų II skyrius 4.12  papunktis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3,00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11.</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Skelbia informaciją apie savo veiklą, užtikrina valstybinės vėliavos iškėlimą ir atlieka kitas funkcijas, susijusias su patalpų savininkų bendrosios nuosavybės administravimu.</w:t>
            </w:r>
          </w:p>
          <w:p>
            <w:pPr>
              <w:pStyle w:val="Normal"/>
              <w:widowControl w:val="false"/>
              <w:jc w:val="both"/>
              <w:rPr>
                <w:rFonts w:eastAsia="Calibri"/>
                <w:szCs w:val="24"/>
                <w:lang w:val="lt-LT" w:eastAsia="lt-LT"/>
              </w:rPr>
            </w:pPr>
            <w:r>
              <w:rPr>
                <w:rFonts w:eastAsia="Calibri"/>
                <w:szCs w:val="24"/>
                <w:lang w:val="lt-LT" w:eastAsia="lt-LT"/>
              </w:rPr>
              <w:t>Nuostatų II skyriaus 4.13, 4.14  papunkčiai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4,00</w:t>
            </w:r>
          </w:p>
        </w:tc>
      </w:tr>
      <w:tr>
        <w:trPr/>
        <w:tc>
          <w:tcPr>
            <w:tcW w:w="5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12.</w:t>
            </w:r>
          </w:p>
        </w:tc>
        <w:tc>
          <w:tcPr>
            <w:tcW w:w="580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szCs w:val="24"/>
                <w:lang w:val="lt-LT" w:eastAsia="lt-LT"/>
              </w:rPr>
            </w:pPr>
            <w:r>
              <w:rPr>
                <w:rFonts w:eastAsia="Calibri"/>
                <w:szCs w:val="24"/>
                <w:lang w:val="lt-LT" w:eastAsia="lt-LT"/>
              </w:rPr>
              <w:t>Teisės aktų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p>
          <w:p>
            <w:pPr>
              <w:pStyle w:val="Normal"/>
              <w:widowControl w:val="false"/>
              <w:jc w:val="both"/>
              <w:rPr>
                <w:rFonts w:eastAsia="Calibri"/>
                <w:szCs w:val="24"/>
                <w:lang w:val="lt-LT" w:eastAsia="lt-LT"/>
              </w:rPr>
            </w:pPr>
            <w:r>
              <w:rPr>
                <w:rFonts w:eastAsia="Calibri"/>
                <w:szCs w:val="24"/>
                <w:lang w:val="lt-LT" w:eastAsia="lt-LT"/>
              </w:rPr>
              <w:t>Nuostatų II skyriaus 5  punktas.</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eastAsia="lt-LT"/>
              </w:rPr>
            </w:pPr>
            <w:r>
              <w:rPr>
                <w:rFonts w:eastAsia="Calibri"/>
                <w:szCs w:val="24"/>
                <w:lang w:val="lt-LT" w:eastAsia="lt-LT"/>
              </w:rPr>
              <w:t>Kiti nenumatyti darbai</w:t>
            </w:r>
          </w:p>
        </w:tc>
      </w:tr>
    </w:tbl>
    <w:p>
      <w:pPr>
        <w:pStyle w:val="Normal"/>
        <w:rPr>
          <w:lang w:val="lt-LT"/>
        </w:rPr>
      </w:pPr>
      <w:r>
        <w:rPr>
          <w:lang w:val="lt-LT"/>
        </w:rPr>
      </w:r>
    </w:p>
    <w:p>
      <w:pPr>
        <w:pStyle w:val="Normal"/>
        <w:jc w:val="center"/>
        <w:rPr>
          <w:rFonts w:eastAsia="Calibri"/>
          <w:szCs w:val="24"/>
          <w:lang w:val="lt-LT"/>
        </w:rPr>
      </w:pPr>
      <w:r>
        <w:rPr>
          <w:rFonts w:eastAsia="Calibri"/>
          <w:szCs w:val="24"/>
          <w:lang w:val="lt-LT"/>
        </w:rPr>
        <w:t>________________________</w:t>
      </w:r>
    </w:p>
    <w:p>
      <w:pPr>
        <w:pStyle w:val="Normal"/>
        <w:ind w:left="5387" w:hanging="0"/>
        <w:rPr>
          <w:rFonts w:eastAsia="Calibri"/>
          <w:szCs w:val="24"/>
          <w:lang w:val="lt-LT"/>
        </w:rPr>
      </w:pPr>
      <w:r>
        <w:rPr>
          <w:rFonts w:eastAsia="Calibri"/>
          <w:szCs w:val="24"/>
          <w:lang w:val="lt-LT"/>
        </w:rPr>
      </w:r>
    </w:p>
    <w:p>
      <w:pPr>
        <w:pStyle w:val="Normal"/>
        <w:widowControl/>
        <w:tabs>
          <w:tab w:val="clear" w:pos="1293"/>
        </w:tabs>
        <w:textAlignment w:val="auto"/>
        <w:rPr>
          <w:rFonts w:eastAsia="Calibri"/>
          <w:szCs w:val="24"/>
          <w:lang w:val="lt-LT"/>
        </w:rPr>
      </w:pPr>
      <w:r>
        <w:rPr>
          <w:rFonts w:eastAsia="Calibri"/>
          <w:szCs w:val="24"/>
          <w:lang w:val="lt-LT"/>
        </w:rPr>
      </w:r>
      <w:r>
        <w:br w:type="page"/>
      </w:r>
    </w:p>
    <w:p>
      <w:pPr>
        <w:pStyle w:val="Normal"/>
        <w:ind w:left="5387" w:hanging="0"/>
        <w:rPr>
          <w:rFonts w:eastAsia="Calibri"/>
          <w:szCs w:val="24"/>
          <w:lang w:val="lt-LT"/>
        </w:rPr>
      </w:pPr>
      <w:r>
        <w:rPr>
          <w:rFonts w:eastAsia="Calibri"/>
          <w:szCs w:val="24"/>
          <w:lang w:val="lt-LT"/>
        </w:rPr>
        <w:t xml:space="preserve">Maksimalaus bendrojo naudojimo objektų administravimo tarifo apskaičiavimo tvarkos aprašo </w:t>
      </w:r>
    </w:p>
    <w:p>
      <w:pPr>
        <w:pStyle w:val="Normal"/>
        <w:ind w:left="5387" w:hanging="0"/>
        <w:rPr>
          <w:rFonts w:eastAsia="Calibri"/>
          <w:szCs w:val="24"/>
          <w:lang w:val="lt-LT"/>
        </w:rPr>
      </w:pPr>
      <w:r>
        <w:rPr>
          <w:rFonts w:eastAsia="Calibri"/>
          <w:szCs w:val="24"/>
          <w:lang w:val="lt-LT"/>
        </w:rPr>
        <w:t>2 priedas</w:t>
      </w:r>
    </w:p>
    <w:p>
      <w:pPr>
        <w:pStyle w:val="Normal"/>
        <w:ind w:left="5387" w:hanging="0"/>
        <w:rPr>
          <w:rFonts w:eastAsia="Calibri"/>
          <w:szCs w:val="24"/>
          <w:lang w:val="lt-LT"/>
        </w:rPr>
      </w:pPr>
      <w:r>
        <w:rPr>
          <w:rFonts w:eastAsia="Calibri"/>
          <w:szCs w:val="24"/>
          <w:lang w:val="lt-LT"/>
        </w:rPr>
      </w:r>
    </w:p>
    <w:p>
      <w:pPr>
        <w:pStyle w:val="Normal"/>
        <w:ind w:left="5387" w:hanging="0"/>
        <w:rPr>
          <w:rFonts w:eastAsia="Calibri"/>
          <w:szCs w:val="24"/>
          <w:lang w:val="lt-LT"/>
        </w:rPr>
      </w:pPr>
      <w:r>
        <w:rPr>
          <w:rFonts w:eastAsia="Calibri"/>
          <w:szCs w:val="24"/>
          <w:lang w:val="lt-LT"/>
        </w:rPr>
      </w:r>
    </w:p>
    <w:p>
      <w:pPr>
        <w:pStyle w:val="Normal"/>
        <w:jc w:val="center"/>
        <w:rPr>
          <w:rFonts w:eastAsia="Calibri"/>
          <w:b/>
          <w:b/>
          <w:bCs/>
          <w:szCs w:val="24"/>
          <w:lang w:val="lt-LT"/>
        </w:rPr>
      </w:pPr>
      <w:r>
        <w:rPr>
          <w:rFonts w:eastAsia="Calibri"/>
          <w:b/>
          <w:bCs/>
          <w:szCs w:val="24"/>
          <w:lang w:val="lt-LT"/>
        </w:rPr>
        <w:t>ADMINISTRATORIAUS DARBO LAIKO SĄNAUDŲ PERSKAIČIAVIMO KOEFICIENTAI, ĮVERTINANTYS PASTATŲ PLOTĄ</w:t>
      </w:r>
    </w:p>
    <w:p>
      <w:pPr>
        <w:pStyle w:val="Normal"/>
        <w:jc w:val="center"/>
        <w:rPr>
          <w:rFonts w:eastAsia="Calibri"/>
          <w:b/>
          <w:b/>
          <w:bCs/>
          <w:szCs w:val="24"/>
          <w:lang w:val="lt-LT"/>
        </w:rPr>
      </w:pPr>
      <w:r>
        <w:rPr>
          <w:rFonts w:eastAsia="Calibri"/>
          <w:b/>
          <w:bCs/>
          <w:szCs w:val="24"/>
          <w:lang w:val="lt-LT"/>
        </w:rPr>
      </w:r>
    </w:p>
    <w:tbl>
      <w:tblPr>
        <w:tblW w:w="6379" w:type="dxa"/>
        <w:jc w:val="left"/>
        <w:tblInd w:w="1413" w:type="dxa"/>
        <w:tblLayout w:type="fixed"/>
        <w:tblCellMar>
          <w:top w:w="0" w:type="dxa"/>
          <w:left w:w="108" w:type="dxa"/>
          <w:bottom w:w="0" w:type="dxa"/>
          <w:right w:w="108" w:type="dxa"/>
        </w:tblCellMar>
        <w:tblLook w:firstRow="1" w:noVBand="0" w:lastRow="1" w:firstColumn="1" w:lastColumn="1" w:noHBand="0" w:val="01e0"/>
      </w:tblPr>
      <w:tblGrid>
        <w:gridCol w:w="3544"/>
        <w:gridCol w:w="2834"/>
      </w:tblGrid>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Pastatų bendrasis plotas kv. m</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Koeficientai (K</w:t>
            </w:r>
            <w:r>
              <w:rPr>
                <w:rFonts w:eastAsia="Calibri"/>
                <w:b/>
                <w:szCs w:val="24"/>
                <w:vertAlign w:val="subscript"/>
                <w:lang w:val="lt-LT"/>
              </w:rPr>
              <w:t>1</w:t>
            </w:r>
            <w:r>
              <w:rPr>
                <w:rFonts w:eastAsia="Calibri"/>
                <w:b/>
                <w:szCs w:val="24"/>
                <w:lang w:val="lt-LT"/>
              </w:rPr>
              <w:t>)</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Iki 1000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0,50</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1001–2000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0,75</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2001–3000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1,00</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3001–4000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lt-LT"/>
              </w:rPr>
            </w:pPr>
            <w:r>
              <w:rPr>
                <w:lang w:val="lt-LT"/>
              </w:rPr>
              <w:t>1,30</w:t>
            </w:r>
          </w:p>
        </w:tc>
      </w:tr>
      <w:tr>
        <w:trPr/>
        <w:tc>
          <w:tcPr>
            <w:tcW w:w="3544" w:type="dxa"/>
            <w:tcBorders>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4001–5000</w:t>
            </w:r>
          </w:p>
        </w:tc>
        <w:tc>
          <w:tcPr>
            <w:tcW w:w="2834" w:type="dxa"/>
            <w:tcBorders>
              <w:left w:val="single" w:sz="4" w:space="0" w:color="000000"/>
              <w:bottom w:val="single" w:sz="4" w:space="0" w:color="000000"/>
              <w:right w:val="single" w:sz="4" w:space="0" w:color="000000"/>
            </w:tcBorders>
          </w:tcPr>
          <w:p>
            <w:pPr>
              <w:pStyle w:val="Normal"/>
              <w:widowControl w:val="false"/>
              <w:jc w:val="center"/>
              <w:rPr>
                <w:lang w:val="lt-LT"/>
              </w:rPr>
            </w:pPr>
            <w:r>
              <w:rPr>
                <w:lang w:val="lt-LT"/>
              </w:rPr>
              <w:t>1,60</w:t>
            </w:r>
          </w:p>
        </w:tc>
      </w:tr>
    </w:tbl>
    <w:p>
      <w:pPr>
        <w:pStyle w:val="Normal"/>
        <w:jc w:val="center"/>
        <w:rPr>
          <w:rFonts w:eastAsia="Calibri"/>
          <w:b/>
          <w:b/>
          <w:bCs/>
          <w:szCs w:val="24"/>
          <w:lang w:val="lt-LT"/>
        </w:rPr>
      </w:pPr>
      <w:r>
        <w:rPr>
          <w:rFonts w:eastAsia="Calibri"/>
          <w:szCs w:val="24"/>
          <w:lang w:val="lt-LT"/>
        </w:rPr>
        <w:br/>
        <w:t>_____________________</w:t>
      </w:r>
    </w:p>
    <w:p>
      <w:pPr>
        <w:pStyle w:val="Normal"/>
        <w:jc w:val="center"/>
        <w:rPr>
          <w:rFonts w:eastAsia="Calibri"/>
          <w:b/>
          <w:b/>
          <w:bCs/>
          <w:szCs w:val="24"/>
          <w:lang w:val="lt-LT"/>
        </w:rPr>
      </w:pPr>
      <w:r>
        <w:rPr>
          <w:rFonts w:eastAsia="Calibri"/>
          <w:b/>
          <w:bCs/>
          <w:szCs w:val="24"/>
          <w:lang w:val="lt-LT"/>
        </w:rPr>
      </w:r>
    </w:p>
    <w:p>
      <w:pPr>
        <w:pStyle w:val="Normal"/>
        <w:widowControl/>
        <w:tabs>
          <w:tab w:val="clear" w:pos="1293"/>
        </w:tabs>
        <w:textAlignment w:val="auto"/>
        <w:rPr>
          <w:rFonts w:eastAsia="Calibri"/>
          <w:szCs w:val="24"/>
          <w:lang w:val="lt-LT"/>
        </w:rPr>
      </w:pPr>
      <w:r>
        <w:rPr>
          <w:rFonts w:eastAsia="Calibri"/>
          <w:szCs w:val="24"/>
          <w:lang w:val="lt-LT"/>
        </w:rPr>
      </w:r>
      <w:r>
        <w:br w:type="page"/>
      </w:r>
    </w:p>
    <w:p>
      <w:pPr>
        <w:pStyle w:val="Normal"/>
        <w:ind w:left="5387" w:hanging="0"/>
        <w:rPr>
          <w:rFonts w:eastAsia="Calibri"/>
          <w:szCs w:val="24"/>
          <w:lang w:val="lt-LT"/>
        </w:rPr>
      </w:pPr>
      <w:r>
        <w:rPr>
          <w:rFonts w:eastAsia="Calibri"/>
          <w:szCs w:val="24"/>
          <w:lang w:val="lt-LT"/>
        </w:rPr>
        <w:t xml:space="preserve">Maksimalaus bendrojo naudojimo objektų administravimo tarifo apskaičiavimo tvarkos aprašo </w:t>
      </w:r>
    </w:p>
    <w:p>
      <w:pPr>
        <w:pStyle w:val="Normal"/>
        <w:ind w:left="5387" w:hanging="0"/>
        <w:rPr>
          <w:rFonts w:eastAsia="Calibri"/>
          <w:szCs w:val="24"/>
          <w:lang w:val="lt-LT"/>
        </w:rPr>
      </w:pPr>
      <w:r>
        <w:rPr>
          <w:rFonts w:eastAsia="Calibri"/>
          <w:szCs w:val="24"/>
          <w:lang w:val="lt-LT"/>
        </w:rPr>
        <w:t>3 priedas</w:t>
      </w:r>
    </w:p>
    <w:p>
      <w:pPr>
        <w:pStyle w:val="Normal"/>
        <w:jc w:val="both"/>
        <w:rPr>
          <w:rFonts w:eastAsia="Calibri"/>
          <w:b/>
          <w:b/>
          <w:szCs w:val="24"/>
          <w:lang w:val="lt-LT"/>
        </w:rPr>
      </w:pPr>
      <w:r>
        <w:rPr>
          <w:rFonts w:eastAsia="Calibri"/>
          <w:b/>
          <w:szCs w:val="24"/>
          <w:lang w:val="lt-LT"/>
        </w:rPr>
      </w:r>
    </w:p>
    <w:p>
      <w:pPr>
        <w:pStyle w:val="Normal"/>
        <w:jc w:val="center"/>
        <w:rPr>
          <w:rFonts w:eastAsia="Calibri"/>
          <w:b/>
          <w:b/>
          <w:caps/>
          <w:szCs w:val="24"/>
          <w:lang w:val="lt-LT"/>
        </w:rPr>
      </w:pPr>
      <w:r>
        <w:rPr>
          <w:rFonts w:eastAsia="Calibri"/>
          <w:b/>
          <w:caps/>
          <w:szCs w:val="24"/>
          <w:lang w:val="lt-LT"/>
        </w:rPr>
      </w:r>
    </w:p>
    <w:p>
      <w:pPr>
        <w:pStyle w:val="Normal"/>
        <w:jc w:val="center"/>
        <w:rPr>
          <w:rFonts w:eastAsia="Calibri"/>
          <w:b/>
          <w:b/>
          <w:caps/>
          <w:szCs w:val="24"/>
          <w:lang w:val="lt-LT"/>
        </w:rPr>
      </w:pPr>
      <w:r>
        <w:rPr>
          <w:rFonts w:eastAsia="Calibri"/>
          <w:b/>
          <w:szCs w:val="24"/>
          <w:lang w:val="lt-LT" w:eastAsia="lt-LT"/>
        </w:rPr>
        <w:t>BENDROJO NAUDOJIMO OBJEKTŲ ADMINISTRAVIMO MOKESČIO TARIFŲ KOEFICIENTAI, ĮVERTINANTYS PASTATŲ EKSPLOATAVIMO LAIKĄ</w:t>
      </w:r>
    </w:p>
    <w:p>
      <w:pPr>
        <w:pStyle w:val="Normal"/>
        <w:jc w:val="both"/>
        <w:rPr>
          <w:rFonts w:eastAsia="Calibri"/>
          <w:caps/>
          <w:szCs w:val="24"/>
          <w:lang w:val="lt-LT"/>
        </w:rPr>
      </w:pPr>
      <w:r>
        <w:rPr>
          <w:rFonts w:eastAsia="Calibri"/>
          <w:caps/>
          <w:szCs w:val="24"/>
          <w:lang w:val="lt-LT"/>
        </w:rPr>
      </w:r>
    </w:p>
    <w:tbl>
      <w:tblPr>
        <w:tblW w:w="6095" w:type="dxa"/>
        <w:jc w:val="left"/>
        <w:tblInd w:w="1838" w:type="dxa"/>
        <w:tblLayout w:type="fixed"/>
        <w:tblCellMar>
          <w:top w:w="0" w:type="dxa"/>
          <w:left w:w="108" w:type="dxa"/>
          <w:bottom w:w="0" w:type="dxa"/>
          <w:right w:w="108" w:type="dxa"/>
        </w:tblCellMar>
        <w:tblLook w:firstRow="1" w:noVBand="0" w:lastRow="1" w:firstColumn="1" w:lastColumn="1" w:noHBand="0" w:val="01e0"/>
      </w:tblPr>
      <w:tblGrid>
        <w:gridCol w:w="3068"/>
        <w:gridCol w:w="3026"/>
      </w:tblGrid>
      <w:tr>
        <w:trPr/>
        <w:tc>
          <w:tcPr>
            <w:tcW w:w="3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Eksploatavimo laikas</w:t>
            </w:r>
          </w:p>
        </w:tc>
        <w:tc>
          <w:tcPr>
            <w:tcW w:w="30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Koeficientai (K</w:t>
            </w:r>
            <w:r>
              <w:rPr>
                <w:rFonts w:eastAsia="Calibri"/>
                <w:b/>
                <w:szCs w:val="24"/>
                <w:vertAlign w:val="subscript"/>
                <w:lang w:val="lt-LT"/>
              </w:rPr>
              <w:t>2</w:t>
            </w:r>
            <w:r>
              <w:rPr>
                <w:rFonts w:eastAsia="Calibri"/>
                <w:b/>
                <w:szCs w:val="24"/>
                <w:lang w:val="lt-LT"/>
              </w:rPr>
              <w:t>)</w:t>
            </w:r>
          </w:p>
        </w:tc>
      </w:tr>
      <w:tr>
        <w:trPr/>
        <w:tc>
          <w:tcPr>
            <w:tcW w:w="3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Iki 10 metų</w:t>
            </w:r>
          </w:p>
        </w:tc>
        <w:tc>
          <w:tcPr>
            <w:tcW w:w="30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0,80</w:t>
            </w:r>
          </w:p>
        </w:tc>
      </w:tr>
      <w:tr>
        <w:trPr/>
        <w:tc>
          <w:tcPr>
            <w:tcW w:w="3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10–20 metų</w:t>
            </w:r>
          </w:p>
        </w:tc>
        <w:tc>
          <w:tcPr>
            <w:tcW w:w="30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0,90</w:t>
            </w:r>
          </w:p>
        </w:tc>
      </w:tr>
      <w:tr>
        <w:trPr/>
        <w:tc>
          <w:tcPr>
            <w:tcW w:w="3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20–35 metai</w:t>
            </w:r>
          </w:p>
        </w:tc>
        <w:tc>
          <w:tcPr>
            <w:tcW w:w="30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1,00</w:t>
            </w:r>
          </w:p>
        </w:tc>
      </w:tr>
      <w:tr>
        <w:trPr/>
        <w:tc>
          <w:tcPr>
            <w:tcW w:w="3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Daugiau kaip 35 metai</w:t>
            </w:r>
          </w:p>
        </w:tc>
        <w:tc>
          <w:tcPr>
            <w:tcW w:w="30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1,10</w:t>
            </w:r>
          </w:p>
        </w:tc>
      </w:tr>
    </w:tbl>
    <w:p>
      <w:pPr>
        <w:pStyle w:val="Normal"/>
        <w:jc w:val="center"/>
        <w:rPr>
          <w:rFonts w:eastAsia="Calibri"/>
          <w:szCs w:val="24"/>
          <w:lang w:val="lt-LT"/>
        </w:rPr>
      </w:pPr>
      <w:r>
        <w:rPr>
          <w:rFonts w:eastAsia="Calibri"/>
          <w:szCs w:val="24"/>
          <w:lang w:val="lt-LT"/>
        </w:rPr>
        <w:t>_____________________</w:t>
      </w:r>
    </w:p>
    <w:p>
      <w:pPr>
        <w:pStyle w:val="Normal"/>
        <w:rPr>
          <w:rFonts w:eastAsia="Calibri"/>
          <w:szCs w:val="24"/>
          <w:lang w:val="lt-LT"/>
        </w:rPr>
      </w:pPr>
      <w:r>
        <w:rPr>
          <w:rFonts w:eastAsia="Calibri"/>
          <w:szCs w:val="24"/>
          <w:lang w:val="lt-LT"/>
        </w:rPr>
      </w:r>
      <w:r>
        <w:br w:type="page"/>
      </w:r>
    </w:p>
    <w:p>
      <w:pPr>
        <w:pStyle w:val="Normal"/>
        <w:ind w:left="5387" w:hanging="0"/>
        <w:rPr>
          <w:rFonts w:eastAsia="Calibri"/>
          <w:szCs w:val="24"/>
          <w:lang w:val="lt-LT"/>
        </w:rPr>
      </w:pPr>
      <w:r>
        <w:rPr>
          <w:rFonts w:eastAsia="Calibri"/>
          <w:szCs w:val="24"/>
          <w:lang w:val="lt-LT"/>
        </w:rPr>
        <w:t xml:space="preserve">Maksimalaus bendrojo naudojimo objektų administravimo tarifo apskaičiavimo tvarkos aprašo </w:t>
      </w:r>
    </w:p>
    <w:p>
      <w:pPr>
        <w:pStyle w:val="Normal"/>
        <w:ind w:left="5387" w:hanging="0"/>
        <w:rPr>
          <w:rFonts w:eastAsia="Calibri"/>
          <w:szCs w:val="24"/>
          <w:lang w:val="lt-LT"/>
        </w:rPr>
      </w:pPr>
      <w:r>
        <w:rPr>
          <w:rFonts w:eastAsia="Calibri"/>
          <w:szCs w:val="24"/>
          <w:lang w:val="lt-LT"/>
        </w:rPr>
        <w:t>4 priedas</w:t>
      </w:r>
    </w:p>
    <w:p>
      <w:pPr>
        <w:pStyle w:val="Normal"/>
        <w:jc w:val="both"/>
        <w:rPr>
          <w:rFonts w:eastAsia="Calibri"/>
          <w:caps/>
          <w:szCs w:val="24"/>
          <w:lang w:val="lt-LT"/>
        </w:rPr>
      </w:pPr>
      <w:r>
        <w:rPr>
          <w:rFonts w:eastAsia="Calibri"/>
          <w:caps/>
          <w:szCs w:val="24"/>
          <w:lang w:val="lt-LT"/>
        </w:rPr>
      </w:r>
    </w:p>
    <w:p>
      <w:pPr>
        <w:pStyle w:val="Normal"/>
        <w:jc w:val="both"/>
        <w:rPr>
          <w:rFonts w:eastAsia="Calibri"/>
          <w:caps/>
          <w:szCs w:val="24"/>
          <w:lang w:val="lt-LT"/>
        </w:rPr>
      </w:pPr>
      <w:r>
        <w:rPr>
          <w:rFonts w:eastAsia="Calibri"/>
          <w:caps/>
          <w:szCs w:val="24"/>
          <w:lang w:val="lt-LT"/>
        </w:rPr>
      </w:r>
    </w:p>
    <w:p>
      <w:pPr>
        <w:pStyle w:val="Normal"/>
        <w:jc w:val="center"/>
        <w:rPr>
          <w:rFonts w:eastAsia="Calibri"/>
          <w:caps/>
          <w:szCs w:val="24"/>
          <w:lang w:val="lt-LT"/>
        </w:rPr>
      </w:pPr>
      <w:r>
        <w:rPr>
          <w:rFonts w:eastAsia="Calibri"/>
          <w:b/>
          <w:caps/>
          <w:szCs w:val="24"/>
          <w:lang w:val="lt-LT"/>
        </w:rPr>
        <w:t>bendrojo naudojimo objektų MAKSIMALIŲ administravimo mokesčio tarifų koeficientai, įvertinantys buitinių patogumų lygį</w:t>
      </w:r>
    </w:p>
    <w:p>
      <w:pPr>
        <w:pStyle w:val="Normal"/>
        <w:jc w:val="both"/>
        <w:rPr>
          <w:rFonts w:eastAsia="Calibri"/>
          <w:caps/>
          <w:szCs w:val="24"/>
          <w:lang w:val="lt-LT"/>
        </w:rPr>
      </w:pPr>
      <w:r>
        <w:rPr>
          <w:rFonts w:eastAsia="Calibri"/>
          <w:caps/>
          <w:szCs w:val="24"/>
          <w:lang w:val="lt-LT"/>
        </w:rPr>
      </w:r>
    </w:p>
    <w:tbl>
      <w:tblPr>
        <w:tblW w:w="6804" w:type="dxa"/>
        <w:jc w:val="left"/>
        <w:tblInd w:w="1271" w:type="dxa"/>
        <w:tblLayout w:type="fixed"/>
        <w:tblCellMar>
          <w:top w:w="0" w:type="dxa"/>
          <w:left w:w="108" w:type="dxa"/>
          <w:bottom w:w="0" w:type="dxa"/>
          <w:right w:w="108" w:type="dxa"/>
        </w:tblCellMar>
        <w:tblLook w:firstRow="1" w:noVBand="0" w:lastRow="1" w:firstColumn="1" w:lastColumn="1" w:noHBand="0" w:val="01e0"/>
      </w:tblPr>
      <w:tblGrid>
        <w:gridCol w:w="3634"/>
        <w:gridCol w:w="3169"/>
      </w:tblGrid>
      <w:tr>
        <w:trPr/>
        <w:tc>
          <w:tcPr>
            <w:tcW w:w="36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Buitinių patogumų lygis</w:t>
            </w:r>
          </w:p>
        </w:tc>
        <w:tc>
          <w:tcPr>
            <w:tcW w:w="31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Koeficientai (K</w:t>
            </w:r>
            <w:r>
              <w:rPr>
                <w:rFonts w:eastAsia="Calibri"/>
                <w:b/>
                <w:szCs w:val="24"/>
                <w:vertAlign w:val="subscript"/>
                <w:lang w:val="lt-LT"/>
              </w:rPr>
              <w:t>3</w:t>
            </w:r>
            <w:r>
              <w:rPr>
                <w:rFonts w:eastAsia="Calibri"/>
                <w:b/>
                <w:szCs w:val="24"/>
                <w:lang w:val="lt-LT"/>
              </w:rPr>
              <w:t>)</w:t>
            </w:r>
          </w:p>
        </w:tc>
      </w:tr>
      <w:tr>
        <w:trPr/>
        <w:tc>
          <w:tcPr>
            <w:tcW w:w="36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Namai be centrinio šildymo</w:t>
            </w:r>
          </w:p>
        </w:tc>
        <w:tc>
          <w:tcPr>
            <w:tcW w:w="31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0,80</w:t>
            </w:r>
          </w:p>
        </w:tc>
      </w:tr>
      <w:tr>
        <w:trPr/>
        <w:tc>
          <w:tcPr>
            <w:tcW w:w="36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Namai su centriniu šildymu</w:t>
            </w:r>
          </w:p>
        </w:tc>
        <w:tc>
          <w:tcPr>
            <w:tcW w:w="31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1,00</w:t>
            </w:r>
          </w:p>
        </w:tc>
      </w:tr>
      <w:tr>
        <w:trPr/>
        <w:tc>
          <w:tcPr>
            <w:tcW w:w="3634" w:type="dxa"/>
            <w:tcBorders>
              <w:top w:val="single" w:sz="4" w:space="0" w:color="000000"/>
              <w:left w:val="single" w:sz="4" w:space="0" w:color="000000"/>
              <w:bottom w:val="single" w:sz="4" w:space="0" w:color="000000"/>
              <w:right w:val="single" w:sz="4" w:space="0" w:color="000000"/>
            </w:tcBorders>
          </w:tcPr>
          <w:p>
            <w:pPr>
              <w:pStyle w:val="Normal"/>
              <w:widowControl w:val="false"/>
              <w:ind w:firstLine="992"/>
              <w:rPr>
                <w:rFonts w:eastAsia="Calibri"/>
                <w:szCs w:val="24"/>
                <w:lang w:val="lt-LT"/>
              </w:rPr>
            </w:pPr>
            <w:r>
              <w:rPr>
                <w:rFonts w:eastAsia="Calibri"/>
                <w:szCs w:val="24"/>
                <w:lang w:val="lt-LT"/>
              </w:rPr>
              <w:t>Namai su liftu</w:t>
            </w:r>
          </w:p>
        </w:tc>
        <w:tc>
          <w:tcPr>
            <w:tcW w:w="31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1,05</w:t>
            </w:r>
          </w:p>
        </w:tc>
      </w:tr>
    </w:tbl>
    <w:p>
      <w:pPr>
        <w:pStyle w:val="Normal"/>
        <w:jc w:val="center"/>
        <w:rPr>
          <w:rFonts w:eastAsia="Calibri"/>
          <w:caps/>
          <w:szCs w:val="24"/>
          <w:lang w:val="lt-LT"/>
        </w:rPr>
      </w:pPr>
      <w:r>
        <w:rPr>
          <w:rFonts w:eastAsia="Calibri"/>
          <w:caps/>
          <w:szCs w:val="24"/>
          <w:lang w:val="lt-LT"/>
        </w:rPr>
        <w:t>_____________________</w:t>
      </w:r>
    </w:p>
    <w:p>
      <w:pPr>
        <w:pStyle w:val="Normal"/>
        <w:rPr>
          <w:rFonts w:eastAsia="Calibri"/>
          <w:szCs w:val="24"/>
          <w:lang w:val="lt-LT"/>
        </w:rPr>
      </w:pPr>
      <w:r>
        <w:rPr>
          <w:rFonts w:eastAsia="Calibri"/>
          <w:szCs w:val="24"/>
          <w:lang w:val="lt-LT"/>
        </w:rPr>
      </w:r>
      <w:r>
        <w:br w:type="page"/>
      </w:r>
    </w:p>
    <w:p>
      <w:pPr>
        <w:pStyle w:val="Normal"/>
        <w:ind w:left="5387" w:hanging="0"/>
        <w:rPr>
          <w:rFonts w:eastAsia="Calibri"/>
          <w:szCs w:val="24"/>
          <w:lang w:val="lt-LT"/>
        </w:rPr>
      </w:pPr>
      <w:r>
        <w:rPr>
          <w:rFonts w:eastAsia="Calibri"/>
          <w:szCs w:val="24"/>
          <w:lang w:val="lt-LT"/>
        </w:rPr>
        <w:t xml:space="preserve">Maksimalaus bendrojo naudojimo objektų administravimo tarifo apskaičiavimo tvarkos aprašo </w:t>
      </w:r>
    </w:p>
    <w:p>
      <w:pPr>
        <w:pStyle w:val="Normal"/>
        <w:ind w:left="5387" w:hanging="0"/>
        <w:rPr>
          <w:rFonts w:eastAsia="Calibri"/>
          <w:szCs w:val="24"/>
          <w:lang w:val="lt-LT"/>
        </w:rPr>
      </w:pPr>
      <w:r>
        <w:rPr>
          <w:rFonts w:eastAsia="Calibri"/>
          <w:szCs w:val="24"/>
          <w:lang w:val="lt-LT"/>
        </w:rPr>
        <w:t>5 priedas</w:t>
      </w:r>
    </w:p>
    <w:p>
      <w:pPr>
        <w:pStyle w:val="Normal"/>
        <w:jc w:val="both"/>
        <w:rPr>
          <w:rFonts w:eastAsia="Calibri"/>
          <w:szCs w:val="24"/>
          <w:lang w:val="lt-LT"/>
        </w:rPr>
      </w:pPr>
      <w:r>
        <w:rPr>
          <w:rFonts w:eastAsia="Calibri"/>
          <w:szCs w:val="24"/>
          <w:lang w:val="lt-LT"/>
        </w:rPr>
      </w:r>
    </w:p>
    <w:p>
      <w:pPr>
        <w:pStyle w:val="Normal"/>
        <w:jc w:val="both"/>
        <w:rPr>
          <w:rFonts w:eastAsia="Calibri"/>
          <w:szCs w:val="24"/>
          <w:lang w:val="lt-LT"/>
        </w:rPr>
      </w:pPr>
      <w:r>
        <w:rPr>
          <w:rFonts w:eastAsia="Calibri"/>
          <w:szCs w:val="24"/>
          <w:lang w:val="lt-LT"/>
        </w:rPr>
      </w:r>
    </w:p>
    <w:p>
      <w:pPr>
        <w:pStyle w:val="Normal"/>
        <w:jc w:val="center"/>
        <w:rPr>
          <w:rFonts w:eastAsia="Calibri"/>
          <w:caps/>
          <w:szCs w:val="24"/>
          <w:lang w:val="lt-LT"/>
        </w:rPr>
      </w:pPr>
      <w:r>
        <w:rPr>
          <w:rFonts w:eastAsia="Calibri"/>
          <w:b/>
          <w:caps/>
          <w:szCs w:val="24"/>
          <w:lang w:val="lt-LT"/>
        </w:rPr>
        <w:t>bendrojo naudojimo objektų MAKSIMALIŲ administravimo mokesčio tarifų koeficientai, įvertinantys pastatų plotą</w:t>
      </w:r>
    </w:p>
    <w:p>
      <w:pPr>
        <w:pStyle w:val="Normal"/>
        <w:jc w:val="center"/>
        <w:rPr>
          <w:rFonts w:eastAsia="Calibri"/>
          <w:szCs w:val="24"/>
          <w:lang w:val="lt-LT"/>
        </w:rPr>
      </w:pPr>
      <w:r>
        <w:rPr>
          <w:rFonts w:eastAsia="Calibri"/>
          <w:szCs w:val="24"/>
          <w:lang w:val="lt-LT"/>
        </w:rPr>
      </w:r>
    </w:p>
    <w:tbl>
      <w:tblPr>
        <w:tblW w:w="6379" w:type="dxa"/>
        <w:jc w:val="left"/>
        <w:tblInd w:w="1413" w:type="dxa"/>
        <w:tblLayout w:type="fixed"/>
        <w:tblCellMar>
          <w:top w:w="0" w:type="dxa"/>
          <w:left w:w="108" w:type="dxa"/>
          <w:bottom w:w="0" w:type="dxa"/>
          <w:right w:w="108" w:type="dxa"/>
        </w:tblCellMar>
        <w:tblLook w:firstRow="1" w:noVBand="0" w:lastRow="1" w:firstColumn="1" w:lastColumn="1" w:noHBand="0" w:val="01e0"/>
      </w:tblPr>
      <w:tblGrid>
        <w:gridCol w:w="3544"/>
        <w:gridCol w:w="2834"/>
      </w:tblGrid>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Pastatų bendrasis plotas kv. m</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
                <w:b/>
                <w:szCs w:val="24"/>
                <w:lang w:val="lt-LT"/>
              </w:rPr>
            </w:pPr>
            <w:r>
              <w:rPr>
                <w:rFonts w:eastAsia="Calibri"/>
                <w:b/>
                <w:szCs w:val="24"/>
                <w:lang w:val="lt-LT"/>
              </w:rPr>
              <w:t>Koeficientai (K</w:t>
            </w:r>
            <w:r>
              <w:rPr>
                <w:rFonts w:eastAsia="Calibri"/>
                <w:b/>
                <w:szCs w:val="24"/>
                <w:vertAlign w:val="subscript"/>
                <w:lang w:val="lt-LT"/>
              </w:rPr>
              <w:t>4</w:t>
            </w:r>
            <w:r>
              <w:rPr>
                <w:rFonts w:eastAsia="Calibri"/>
                <w:b/>
                <w:szCs w:val="24"/>
                <w:lang w:val="lt-LT"/>
              </w:rPr>
              <w:t>)</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Iki 1000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1,45</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1001–2000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1,25</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2001–3000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1,00</w:t>
            </w:r>
          </w:p>
        </w:tc>
      </w:tr>
      <w:tr>
        <w:trPr/>
        <w:tc>
          <w:tcPr>
            <w:tcW w:w="35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3001–4000</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0,95</w:t>
            </w:r>
          </w:p>
        </w:tc>
      </w:tr>
      <w:tr>
        <w:trPr/>
        <w:tc>
          <w:tcPr>
            <w:tcW w:w="3544" w:type="dxa"/>
            <w:tcBorders>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4001–5000</w:t>
            </w:r>
          </w:p>
        </w:tc>
        <w:tc>
          <w:tcPr>
            <w:tcW w:w="2834" w:type="dxa"/>
            <w:tcBorders>
              <w:left w:val="single" w:sz="4" w:space="0" w:color="000000"/>
              <w:bottom w:val="single" w:sz="4" w:space="0" w:color="000000"/>
              <w:right w:val="single" w:sz="4" w:space="0" w:color="000000"/>
            </w:tcBorders>
          </w:tcPr>
          <w:p>
            <w:pPr>
              <w:pStyle w:val="Normal"/>
              <w:widowControl w:val="false"/>
              <w:jc w:val="center"/>
              <w:rPr>
                <w:rFonts w:eastAsia="Calibri"/>
                <w:szCs w:val="24"/>
                <w:lang w:val="lt-LT"/>
              </w:rPr>
            </w:pPr>
            <w:r>
              <w:rPr>
                <w:rFonts w:eastAsia="Calibri"/>
                <w:szCs w:val="24"/>
                <w:lang w:val="lt-LT"/>
              </w:rPr>
              <w:t>0,90</w:t>
            </w:r>
          </w:p>
        </w:tc>
      </w:tr>
    </w:tbl>
    <w:p>
      <w:pPr>
        <w:pStyle w:val="Normal"/>
        <w:jc w:val="center"/>
        <w:rPr>
          <w:rFonts w:eastAsia="Calibri"/>
          <w:bCs/>
          <w:szCs w:val="24"/>
          <w:lang w:val="lt-LT"/>
        </w:rPr>
      </w:pPr>
      <w:r>
        <w:rPr>
          <w:rFonts w:eastAsia="Calibri"/>
          <w:caps/>
          <w:szCs w:val="24"/>
          <w:lang w:val="lt-LT"/>
        </w:rPr>
        <w:t>_____________________</w:t>
      </w:r>
    </w:p>
    <w:p>
      <w:pPr>
        <w:pStyle w:val="Normal"/>
        <w:jc w:val="center"/>
        <w:rPr>
          <w:rFonts w:eastAsia="Calibri"/>
          <w:bCs/>
          <w:szCs w:val="24"/>
          <w:lang w:val="lt-LT"/>
        </w:rPr>
      </w:pPr>
      <w:r>
        <w:rPr>
          <w:rFonts w:eastAsia="Calibri"/>
          <w:bCs/>
          <w:szCs w:val="24"/>
          <w:lang w:val="lt-LT"/>
        </w:rPr>
      </w:r>
    </w:p>
    <w:p>
      <w:pPr>
        <w:pStyle w:val="Normal"/>
        <w:jc w:val="center"/>
        <w:rPr>
          <w:rFonts w:eastAsia="Calibri"/>
          <w:bCs/>
          <w:szCs w:val="24"/>
          <w:lang w:val="lt-LT"/>
        </w:rPr>
      </w:pPr>
      <w:r>
        <w:rPr>
          <w:rFonts w:eastAsia="Calibri"/>
          <w:bCs/>
          <w:szCs w:val="24"/>
          <w:lang w:val="lt-LT"/>
        </w:rPr>
      </w:r>
    </w:p>
    <w:p>
      <w:pPr>
        <w:pStyle w:val="Normal"/>
        <w:jc w:val="center"/>
        <w:rPr>
          <w:rFonts w:eastAsia="Calibri"/>
          <w:bCs/>
          <w:szCs w:val="24"/>
          <w:lang w:val="lt-LT"/>
        </w:rPr>
      </w:pPr>
      <w:r>
        <w:rPr/>
      </w:r>
    </w:p>
    <w:sectPr>
      <w:headerReference w:type="default" r:id="rId3"/>
      <w:footerReference w:type="default" r:id="rId4"/>
      <w:footerReference w:type="first" r:id="rId5"/>
      <w:type w:val="nextPage"/>
      <w:pgSz w:w="11906" w:h="16838"/>
      <w:pgMar w:left="1701" w:right="567" w:gutter="0" w:header="567" w:top="1134" w:footer="624" w:bottom="68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Light">
    <w:charset w:val="ba"/>
    <w:family w:val="roman"/>
    <w:pitch w:val="variable"/>
  </w:font>
  <w:font w:name="Liberation Sans">
    <w:altName w:val="Arial"/>
    <w:charset w:val="ba"/>
    <w:family w:val="roman"/>
    <w:pitch w:val="variable"/>
  </w:font>
  <w:font w:name="TimesLT">
    <w:charset w:val="ba"/>
    <w:family w:val="roman"/>
    <w:pitch w:val="variable"/>
  </w:font>
  <w:font w:name="Tahoma">
    <w:charset w:val="ba"/>
    <w:family w:val="roman"/>
    <w:pitch w:val="variable"/>
  </w:font>
  <w:font w:name="Courier New">
    <w:charset w:val="ba"/>
    <w:family w:val="roman"/>
    <w:pitch w:val="variable"/>
  </w:font>
  <w:font w:name="Arial">
    <w:charset w:val="ba"/>
    <w:family w:val="roman"/>
    <w:pitch w:val="variable"/>
  </w:font>
  <w:font w:name="Calibri">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rat1"/>
      <w:jc w:val="right"/>
      <w:rPr>
        <w:sz w:val="20"/>
      </w:rPr>
    </w:pPr>
    <w:r>
      <w:rPr>
        <w:sz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rat1"/>
      <w:jc w:val="right"/>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ntrats1"/>
      <w:rPr/>
    </w:pPr>
    <w:r>
      <w:rPr/>
      <mc:AlternateContent>
        <mc:Choice Requires="wps">
          <w:drawing>
            <wp:anchor behindDoc="1" distT="0" distB="0" distL="95250" distR="60960" simplePos="0" locked="0" layoutInCell="0" allowOverlap="1" relativeHeight="17" wp14:anchorId="3D88066B">
              <wp:simplePos x="0" y="0"/>
              <wp:positionH relativeFrom="margin">
                <wp:align>center</wp:align>
              </wp:positionH>
              <wp:positionV relativeFrom="paragraph">
                <wp:posOffset>635</wp:posOffset>
              </wp:positionV>
              <wp:extent cx="14605" cy="173355"/>
              <wp:effectExtent l="635" t="635" r="0" b="0"/>
              <wp:wrapNone/>
              <wp:docPr id="2" name="Stačiakampis 1"/>
              <a:graphic xmlns:a="http://schemas.openxmlformats.org/drawingml/2006/main">
                <a:graphicData uri="http://schemas.microsoft.com/office/word/2010/wordprocessingShape">
                  <wps:wsp>
                    <wps:cNvSpPr/>
                    <wps:spPr>
                      <a:xfrm>
                        <a:off x="0" y="0"/>
                        <a:ext cx="14760" cy="173520"/>
                      </a:xfrm>
                      <a:prstGeom prst="rect">
                        <a:avLst/>
                      </a:prstGeom>
                      <a:noFill/>
                      <a:ln w="0">
                        <a:noFill/>
                      </a:ln>
                    </wps:spPr>
                    <wps:style>
                      <a:lnRef idx="0"/>
                      <a:fillRef idx="0"/>
                      <a:effectRef idx="0"/>
                      <a:fontRef idx="minor"/>
                    </wps:style>
                    <wps:txbx>
                      <w:txbxContent>
                        <w:p>
                          <w:pPr>
                            <w:pStyle w:val="Antrats1"/>
                            <w:rPr>
                              <w:color w:val="000000"/>
                            </w:rPr>
                          </w:pPr>
                          <w:r>
                            <w:rPr>
                              <w:color w:val="000000"/>
                            </w:rPr>
                          </w:r>
                        </w:p>
                      </w:txbxContent>
                    </wps:txbx>
                    <wps:bodyPr anchor="t" upright="1">
                      <a:noAutofit/>
                    </wps:bodyPr>
                  </wps:wsp>
                </a:graphicData>
              </a:graphic>
            </wp:anchor>
          </w:drawing>
        </mc:Choice>
        <mc:Fallback>
          <w:pict>
            <v:rect id="shape_0" ID="Stačiakampis 1" path="m0,0l-2147483645,0l-2147483645,-2147483646l0,-2147483646xe" stroked="f" o:allowincell="f" style="position:absolute;margin-left:240.35pt;margin-top:0.05pt;width:1.1pt;height:13.6pt;mso-wrap-style:none;v-text-anchor:middle;mso-position-horizontal:center;mso-position-horizontal-relative:margin" wp14:anchorId="3D88066B">
              <v:fill o:detectmouseclick="t" on="false"/>
              <v:stroke color="#3465a4" joinstyle="round" endcap="flat"/>
              <v:textbox>
                <w:txbxContent>
                  <w:p>
                    <w:pPr>
                      <w:pStyle w:val="Antrats1"/>
                      <w:rPr>
                        <w:color w:val="000000"/>
                      </w:rPr>
                    </w:pPr>
                    <w:r>
                      <w:rPr>
                        <w:color w:val="000000"/>
                      </w:rPr>
                    </w:r>
                  </w:p>
                </w:txbxContent>
              </v:textbox>
              <w10:wrap type="none"/>
            </v:rect>
          </w:pict>
        </mc:Fallback>
      </mc:AlternateContent>
    </w:r>
  </w:p>
</w:hdr>
</file>

<file path=word/settings.xml><?xml version="1.0" encoding="utf-8"?>
<w:settings xmlns:w="http://schemas.openxmlformats.org/wordprocessingml/2006/main">
  <w:zoom w:percent="100"/>
  <w:defaultTabStop w:val="1298"/>
  <w:autoHyphenation w:val="true"/>
  <w:hyphenationZone w:val="3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c52cb"/>
    <w:pPr>
      <w:widowControl w:val="false"/>
      <w:tabs>
        <w:tab w:val="clear" w:pos="1298"/>
        <w:tab w:val="left" w:pos="1293" w:leader="none"/>
      </w:tabs>
      <w:suppressAutoHyphens w:val="true"/>
      <w:bidi w:val="0"/>
      <w:spacing w:before="0" w:after="0"/>
      <w:jc w:val="left"/>
      <w:textAlignment w:val="baseline"/>
    </w:pPr>
    <w:rPr>
      <w:rFonts w:ascii="Times New Roman" w:hAnsi="Times New Roman" w:eastAsia="Times New Roman" w:cs="Times New Roman"/>
      <w:color w:val="auto"/>
      <w:kern w:val="0"/>
      <w:sz w:val="24"/>
      <w:szCs w:val="20"/>
      <w:lang w:val="en-US" w:eastAsia="en-US" w:bidi="ar-SA"/>
    </w:rPr>
  </w:style>
  <w:style w:type="character" w:styleId="DefaultParagraphFont" w:default="1">
    <w:name w:val="Default Paragraph Font"/>
    <w:uiPriority w:val="1"/>
    <w:semiHidden/>
    <w:unhideWhenUsed/>
    <w:qFormat/>
    <w:rPr/>
  </w:style>
  <w:style w:type="character" w:styleId="Internetosaitas">
    <w:name w:val="Hyperlink"/>
    <w:rsid w:val="009e3fe4"/>
    <w:rPr>
      <w:color w:val="0000FF"/>
      <w:u w:val="single"/>
    </w:rPr>
  </w:style>
  <w:style w:type="character" w:styleId="Pagenumber">
    <w:name w:val="page number"/>
    <w:basedOn w:val="DefaultParagraphFont"/>
    <w:qFormat/>
    <w:rsid w:val="00431079"/>
    <w:rPr/>
  </w:style>
  <w:style w:type="character" w:styleId="Antrat1Diagrama" w:customStyle="1">
    <w:name w:val="Antraštė 1 Diagrama"/>
    <w:link w:val="Antrat11"/>
    <w:qFormat/>
    <w:rsid w:val="00ea2d2e"/>
    <w:rPr>
      <w:rFonts w:ascii="Calibri Light" w:hAnsi="Calibri Light" w:eastAsia="Times New Roman" w:cs="Times New Roman"/>
      <w:b/>
      <w:bCs/>
      <w:kern w:val="2"/>
      <w:sz w:val="32"/>
      <w:szCs w:val="32"/>
      <w:lang w:val="en-US" w:eastAsia="en-US"/>
    </w:rPr>
  </w:style>
  <w:style w:type="character" w:styleId="Strong">
    <w:name w:val="Strong"/>
    <w:uiPriority w:val="22"/>
    <w:qFormat/>
    <w:rsid w:val="00581051"/>
    <w:rPr>
      <w:b/>
      <w:bCs/>
    </w:rPr>
  </w:style>
  <w:style w:type="character" w:styleId="Antrat2Diagrama" w:customStyle="1">
    <w:name w:val="Antraštė 2 Diagrama"/>
    <w:link w:val="Antrat21"/>
    <w:semiHidden/>
    <w:qFormat/>
    <w:rsid w:val="009135c1"/>
    <w:rPr>
      <w:rFonts w:ascii="Calibri Light" w:hAnsi="Calibri Light"/>
      <w:b/>
      <w:bCs/>
      <w:i/>
      <w:iCs/>
      <w:sz w:val="28"/>
      <w:szCs w:val="28"/>
      <w:lang w:val="en-GB" w:eastAsia="en-US"/>
    </w:rPr>
  </w:style>
  <w:style w:type="character" w:styleId="Appleconvertedspace" w:customStyle="1">
    <w:name w:val="apple-converted-space"/>
    <w:qFormat/>
    <w:rsid w:val="008c720e"/>
    <w:rPr/>
  </w:style>
  <w:style w:type="character" w:styleId="AntratsDiagrama" w:customStyle="1">
    <w:name w:val="Antraštės Diagrama"/>
    <w:link w:val="Antrats1"/>
    <w:qFormat/>
    <w:rsid w:val="00ee3484"/>
    <w:rPr>
      <w:sz w:val="24"/>
      <w:lang w:val="en-US" w:eastAsia="en-US"/>
    </w:rPr>
  </w:style>
  <w:style w:type="character" w:styleId="Annotationreference">
    <w:name w:val="annotation reference"/>
    <w:basedOn w:val="DefaultParagraphFont"/>
    <w:semiHidden/>
    <w:unhideWhenUsed/>
    <w:qFormat/>
    <w:rsid w:val="002563e4"/>
    <w:rPr>
      <w:sz w:val="16"/>
      <w:szCs w:val="16"/>
    </w:rPr>
  </w:style>
  <w:style w:type="character" w:styleId="CommentTextChar" w:customStyle="1">
    <w:name w:val="Comment Text Char"/>
    <w:basedOn w:val="DefaultParagraphFont"/>
    <w:link w:val="Annotationtext"/>
    <w:qFormat/>
    <w:rsid w:val="002563e4"/>
    <w:rPr>
      <w:lang w:val="en-US" w:eastAsia="en-US"/>
    </w:rPr>
  </w:style>
  <w:style w:type="character" w:styleId="CommentSubjectChar" w:customStyle="1">
    <w:name w:val="Comment Subject Char"/>
    <w:basedOn w:val="CommentTextChar"/>
    <w:link w:val="Annotationsubject"/>
    <w:semiHidden/>
    <w:qFormat/>
    <w:rsid w:val="002563e4"/>
    <w:rPr>
      <w:b/>
      <w:bCs/>
      <w:lang w:val="en-US" w:eastAsia="en-US"/>
    </w:rPr>
  </w:style>
  <w:style w:type="character" w:styleId="FontStyle16" w:customStyle="1">
    <w:name w:val="Font Style16"/>
    <w:qFormat/>
    <w:rsid w:val="00823586"/>
    <w:rPr>
      <w:rFonts w:ascii="Times New Roman" w:hAnsi="Times New Roman" w:cs="Times New Roman"/>
      <w:sz w:val="22"/>
      <w:szCs w:val="22"/>
    </w:rPr>
  </w:style>
  <w:style w:type="character" w:styleId="Mark8fbyqfn5n" w:customStyle="1">
    <w:name w:val="mark8fbyqfn5n"/>
    <w:basedOn w:val="DefaultParagraphFont"/>
    <w:qFormat/>
    <w:rsid w:val="00696a97"/>
    <w:rPr/>
  </w:style>
  <w:style w:type="character" w:styleId="EndnoteCharacters" w:customStyle="1">
    <w:name w:val="Endnote Characters"/>
    <w:qFormat/>
    <w:rsid w:val="00f95bc9"/>
    <w:rPr/>
  </w:style>
  <w:style w:type="paragraph" w:styleId="Antrat" w:customStyle="1">
    <w:name w:val="Antraštė"/>
    <w:basedOn w:val="Normal"/>
    <w:next w:val="Pagrindinistekstas"/>
    <w:qFormat/>
    <w:rsid w:val="00f95bc9"/>
    <w:pPr>
      <w:keepNext w:val="true"/>
      <w:spacing w:before="240" w:after="120"/>
    </w:pPr>
    <w:rPr>
      <w:rFonts w:ascii="Liberation Sans" w:hAnsi="Liberation Sans" w:eastAsia="Microsoft YaHei" w:cs="Lucida Sans"/>
      <w:sz w:val="28"/>
      <w:szCs w:val="28"/>
    </w:rPr>
  </w:style>
  <w:style w:type="paragraph" w:styleId="Pagrindinistekstas">
    <w:name w:val="Body Text"/>
    <w:rsid w:val="00757179"/>
    <w:pPr>
      <w:widowControl/>
      <w:suppressAutoHyphens w:val="true"/>
      <w:bidi w:val="0"/>
      <w:snapToGrid w:val="false"/>
      <w:spacing w:before="0" w:after="0"/>
      <w:ind w:firstLine="312"/>
      <w:jc w:val="both"/>
    </w:pPr>
    <w:rPr>
      <w:rFonts w:ascii="TimesLT" w:hAnsi="TimesLT" w:eastAsia="Times New Roman" w:cs="Times New Roman"/>
      <w:color w:val="auto"/>
      <w:kern w:val="0"/>
      <w:sz w:val="20"/>
      <w:szCs w:val="20"/>
      <w:lang w:val="en-US" w:eastAsia="en-US" w:bidi="ar-SA"/>
    </w:rPr>
  </w:style>
  <w:style w:type="paragraph" w:styleId="Sraas">
    <w:name w:val="List"/>
    <w:basedOn w:val="Pagrindinistekstas"/>
    <w:rsid w:val="00f95bc9"/>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customStyle="1">
    <w:name w:val="Rodyklė"/>
    <w:basedOn w:val="Normal"/>
    <w:qFormat/>
    <w:rsid w:val="00f95bc9"/>
    <w:pPr>
      <w:suppressLineNumbers/>
    </w:pPr>
    <w:rPr>
      <w:rFonts w:cs="Lucida Sans"/>
    </w:rPr>
  </w:style>
  <w:style w:type="paragraph" w:styleId="Antrat11" w:customStyle="1">
    <w:name w:val="Antraštė 11"/>
    <w:basedOn w:val="Normal"/>
    <w:next w:val="Normal"/>
    <w:link w:val="Antrat1Diagrama"/>
    <w:qFormat/>
    <w:rsid w:val="00ea2d2e"/>
    <w:pPr>
      <w:keepNext w:val="true"/>
      <w:spacing w:before="240" w:after="60"/>
      <w:outlineLvl w:val="0"/>
    </w:pPr>
    <w:rPr>
      <w:rFonts w:ascii="Calibri Light" w:hAnsi="Calibri Light"/>
      <w:b/>
      <w:bCs/>
      <w:kern w:val="2"/>
      <w:sz w:val="32"/>
      <w:szCs w:val="32"/>
    </w:rPr>
  </w:style>
  <w:style w:type="paragraph" w:styleId="Antrat21" w:customStyle="1">
    <w:name w:val="Antraštė 21"/>
    <w:basedOn w:val="Normal"/>
    <w:next w:val="Normal"/>
    <w:link w:val="Antrat2Diagrama"/>
    <w:semiHidden/>
    <w:unhideWhenUsed/>
    <w:qFormat/>
    <w:rsid w:val="009135c1"/>
    <w:pPr>
      <w:keepNext w:val="true"/>
      <w:widowControl/>
      <w:tabs>
        <w:tab w:val="clear" w:pos="1293"/>
      </w:tabs>
      <w:overflowPunct w:val="true"/>
      <w:spacing w:before="240" w:after="60"/>
      <w:textAlignment w:val="auto"/>
      <w:outlineLvl w:val="1"/>
    </w:pPr>
    <w:rPr>
      <w:rFonts w:ascii="Calibri Light" w:hAnsi="Calibri Light"/>
      <w:b/>
      <w:bCs/>
      <w:i/>
      <w:iCs/>
      <w:sz w:val="28"/>
      <w:szCs w:val="28"/>
      <w:lang w:val="en-GB"/>
    </w:rPr>
  </w:style>
  <w:style w:type="paragraph" w:styleId="Antrat1" w:customStyle="1">
    <w:name w:val="Antraštė1"/>
    <w:basedOn w:val="Normal"/>
    <w:qFormat/>
    <w:rsid w:val="00f95bc9"/>
    <w:pPr>
      <w:suppressLineNumbers/>
      <w:spacing w:before="120" w:after="120"/>
    </w:pPr>
    <w:rPr>
      <w:rFonts w:cs="Lucida Sans"/>
      <w:i/>
      <w:iCs/>
      <w:szCs w:val="24"/>
    </w:rPr>
  </w:style>
  <w:style w:type="paragraph" w:styleId="Puslapinantratirporat" w:customStyle="1">
    <w:name w:val="Puslapinė antraštė ir poraštė"/>
    <w:basedOn w:val="Normal"/>
    <w:qFormat/>
    <w:rsid w:val="00f95bc9"/>
    <w:pPr/>
    <w:rPr/>
  </w:style>
  <w:style w:type="paragraph" w:styleId="Antrats1" w:customStyle="1">
    <w:name w:val="Antraštės1"/>
    <w:basedOn w:val="Normal"/>
    <w:link w:val="AntratsDiagrama"/>
    <w:qFormat/>
    <w:rsid w:val="00757179"/>
    <w:pPr>
      <w:tabs>
        <w:tab w:val="clear" w:pos="1293"/>
        <w:tab w:val="center" w:pos="4153" w:leader="none"/>
        <w:tab w:val="right" w:pos="8306" w:leader="none"/>
      </w:tabs>
    </w:pPr>
    <w:rPr/>
  </w:style>
  <w:style w:type="paragraph" w:styleId="BalloonText">
    <w:name w:val="Balloon Text"/>
    <w:basedOn w:val="Normal"/>
    <w:semiHidden/>
    <w:qFormat/>
    <w:rsid w:val="008428ab"/>
    <w:pPr/>
    <w:rPr>
      <w:rFonts w:ascii="Tahoma" w:hAnsi="Tahoma" w:cs="Tahoma"/>
      <w:sz w:val="16"/>
      <w:szCs w:val="16"/>
    </w:rPr>
  </w:style>
  <w:style w:type="paragraph" w:styleId="HTMLPreformatted">
    <w:name w:val="HTML Preformatted"/>
    <w:basedOn w:val="Normal"/>
    <w:qFormat/>
    <w:rsid w:val="009e3fe4"/>
    <w:pPr>
      <w:widowControl/>
      <w:tabs>
        <w:tab w:val="clear" w:pos="1293"/>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sz w:val="20"/>
      <w:lang w:val="lt-LT" w:eastAsia="lt-LT"/>
    </w:rPr>
  </w:style>
  <w:style w:type="paragraph" w:styleId="Porat1" w:customStyle="1">
    <w:name w:val="Poraštė1"/>
    <w:basedOn w:val="Normal"/>
    <w:qFormat/>
    <w:rsid w:val="00431079"/>
    <w:pPr>
      <w:tabs>
        <w:tab w:val="clear" w:pos="1293"/>
        <w:tab w:val="center" w:pos="4819" w:leader="none"/>
        <w:tab w:val="right" w:pos="9638" w:leader="none"/>
      </w:tabs>
    </w:pPr>
    <w:rPr/>
  </w:style>
  <w:style w:type="paragraph" w:styleId="BodyText3">
    <w:name w:val="Body Text 3"/>
    <w:basedOn w:val="Normal"/>
    <w:qFormat/>
    <w:rsid w:val="00cb4bb2"/>
    <w:pPr>
      <w:spacing w:before="0" w:after="120"/>
      <w:textAlignment w:val="auto"/>
    </w:pPr>
    <w:rPr>
      <w:sz w:val="16"/>
      <w:szCs w:val="16"/>
    </w:rPr>
  </w:style>
  <w:style w:type="paragraph" w:styleId="Pagrindiniotekstotrauka">
    <w:name w:val="Body Text Indent"/>
    <w:basedOn w:val="Normal"/>
    <w:rsid w:val="00016ef5"/>
    <w:pPr>
      <w:spacing w:before="0" w:after="120"/>
      <w:ind w:left="283" w:hanging="0"/>
    </w:pPr>
    <w:rPr/>
  </w:style>
  <w:style w:type="paragraph" w:styleId="NormalWeb">
    <w:name w:val="Normal (Web)"/>
    <w:basedOn w:val="Normal"/>
    <w:uiPriority w:val="99"/>
    <w:qFormat/>
    <w:rsid w:val="00be02d8"/>
    <w:pPr>
      <w:widowControl/>
      <w:tabs>
        <w:tab w:val="clear" w:pos="1293"/>
      </w:tabs>
      <w:overflowPunct w:val="true"/>
      <w:spacing w:beforeAutospacing="1" w:afterAutospacing="1"/>
      <w:textAlignment w:val="auto"/>
    </w:pPr>
    <w:rPr>
      <w:rFonts w:ascii="Arial" w:hAnsi="Arial" w:cs="Arial"/>
      <w:color w:val="1A2B2E"/>
      <w:sz w:val="18"/>
      <w:szCs w:val="18"/>
      <w:lang w:val="lt-LT" w:eastAsia="lt-LT"/>
    </w:rPr>
  </w:style>
  <w:style w:type="paragraph" w:styleId="Pagrindinistekstas1" w:customStyle="1">
    <w:name w:val="Pagrindinis tekstas1"/>
    <w:qFormat/>
    <w:rsid w:val="00fb3f60"/>
    <w:pPr>
      <w:widowControl/>
      <w:suppressAutoHyphens w:val="true"/>
      <w:bidi w:val="0"/>
      <w:spacing w:before="0" w:after="0"/>
      <w:ind w:firstLine="312"/>
      <w:jc w:val="both"/>
    </w:pPr>
    <w:rPr>
      <w:rFonts w:ascii="TimesLT" w:hAnsi="TimesLT" w:eastAsia="Times New Roman" w:cs="Times New Roman"/>
      <w:color w:val="auto"/>
      <w:kern w:val="0"/>
      <w:sz w:val="20"/>
      <w:szCs w:val="20"/>
      <w:lang w:val="en-US" w:eastAsia="en-US" w:bidi="ar-SA"/>
    </w:rPr>
  </w:style>
  <w:style w:type="paragraph" w:styleId="ListParagraph">
    <w:name w:val="List Paragraph"/>
    <w:basedOn w:val="Normal"/>
    <w:uiPriority w:val="34"/>
    <w:qFormat/>
    <w:rsid w:val="00bc3532"/>
    <w:pPr>
      <w:widowControl/>
      <w:tabs>
        <w:tab w:val="clear" w:pos="1293"/>
      </w:tabs>
      <w:overflowPunct w:val="true"/>
      <w:spacing w:lineRule="auto" w:line="276" w:before="0" w:after="200"/>
      <w:ind w:left="720" w:hanging="0"/>
      <w:contextualSpacing/>
      <w:textAlignment w:val="auto"/>
    </w:pPr>
    <w:rPr>
      <w:rFonts w:ascii="Calibri" w:hAnsi="Calibri" w:eastAsia="Calibri"/>
      <w:sz w:val="22"/>
      <w:szCs w:val="22"/>
    </w:rPr>
  </w:style>
  <w:style w:type="paragraph" w:styleId="Default" w:customStyle="1">
    <w:name w:val="Default"/>
    <w:qFormat/>
    <w:rsid w:val="009135c1"/>
    <w:pPr>
      <w:widowControl/>
      <w:suppressAutoHyphens w:val="true"/>
      <w:bidi w:val="0"/>
      <w:spacing w:before="0" w:after="0"/>
      <w:jc w:val="left"/>
    </w:pPr>
    <w:rPr>
      <w:rFonts w:ascii="Times New Roman" w:hAnsi="Times New Roman" w:eastAsia="Times New Roman" w:cs="Times New Roman"/>
      <w:color w:val="000000"/>
      <w:kern w:val="0"/>
      <w:sz w:val="24"/>
      <w:szCs w:val="24"/>
      <w:lang w:val="lt-LT" w:eastAsia="lt-LT" w:bidi="ar-SA"/>
    </w:rPr>
  </w:style>
  <w:style w:type="paragraph" w:styleId="Annotationtext">
    <w:name w:val="annotation text"/>
    <w:basedOn w:val="Normal"/>
    <w:link w:val="CommentTextChar"/>
    <w:unhideWhenUsed/>
    <w:qFormat/>
    <w:rsid w:val="002563e4"/>
    <w:pPr/>
    <w:rPr>
      <w:sz w:val="20"/>
    </w:rPr>
  </w:style>
  <w:style w:type="paragraph" w:styleId="Annotationsubject">
    <w:name w:val="annotation subject"/>
    <w:basedOn w:val="Annotationtext"/>
    <w:next w:val="Annotationtext"/>
    <w:link w:val="CommentSubjectChar"/>
    <w:semiHidden/>
    <w:unhideWhenUsed/>
    <w:qFormat/>
    <w:rsid w:val="002563e4"/>
    <w:pPr/>
    <w:rPr>
      <w:b/>
      <w:bCs/>
    </w:rPr>
  </w:style>
  <w:style w:type="paragraph" w:styleId="FrameContents" w:customStyle="1">
    <w:name w:val="Frame Contents"/>
    <w:basedOn w:val="Normal"/>
    <w:qFormat/>
    <w:rsid w:val="00f95bc9"/>
    <w:pPr/>
    <w:rPr/>
  </w:style>
  <w:style w:type="paragraph" w:styleId="Lentelsturinys" w:customStyle="1">
    <w:name w:val="Lentelės turinys"/>
    <w:basedOn w:val="Normal"/>
    <w:qFormat/>
    <w:rsid w:val="00f95bc9"/>
    <w:pPr>
      <w:suppressLineNumbers/>
    </w:pPr>
    <w:rPr/>
  </w:style>
  <w:style w:type="paragraph" w:styleId="Lentelsantrat" w:customStyle="1">
    <w:name w:val="Lentelės antraštė"/>
    <w:basedOn w:val="Lentelsturinys"/>
    <w:qFormat/>
    <w:rsid w:val="00f95bc9"/>
    <w:pPr>
      <w:jc w:val="center"/>
    </w:pPr>
    <w:rPr>
      <w:b/>
      <w:bCs/>
    </w:rPr>
  </w:style>
  <w:style w:type="paragraph" w:styleId="Puslapinantrat">
    <w:name w:val="Header"/>
    <w:basedOn w:val="Puslapinantratirporat"/>
    <w:pPr/>
    <w:rPr/>
  </w:style>
  <w:style w:type="paragraph" w:styleId="Kadroturinys">
    <w:name w:val="Kadro turinys"/>
    <w:basedOn w:val="Normal"/>
    <w:qFormat/>
    <w:pPr/>
    <w:rPr/>
  </w:style>
  <w:style w:type="paragraph" w:styleId="Puslapinporat">
    <w:name w:val="Footer"/>
    <w:basedOn w:val="Puslapinantratirpor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d49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Theme">
    <w:name w:val="Table Theme"/>
    <w:basedOn w:val="TableNormal"/>
    <w:rsid w:val="00dd49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4B40-8708-45C6-9893-D79747AC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13b48e6cb50f422dbd6268908fde2f54</Template>
  <Manager>2023-11-30</Manager>
  <TotalTime>4</TotalTime>
  <Application>LibreOffice/7.4.5.1$Windows_X86_64 LibreOffice_project/9c0871452b3918c1019dde9bfac75448afc4b57f</Application>
  <AppVersion>15.0000</AppVersion>
  <DocSecurity>0</DocSecurity>
  <Pages>10</Pages>
  <Words>1440</Words>
  <Characters>10312</Characters>
  <CharactersWithSpaces>11908</CharactersWithSpaces>
  <Paragraphs>175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Sprendimas</cp:category>
  <dcterms:created xsi:type="dcterms:W3CDTF">2023-11-30T12:51:00Z</dcterms:created>
  <dc:creator>IGNALINOS RAJONO SAVIVALDYBĖS TARYBA</dc:creator>
  <dc:description/>
  <dc:language>lt-LT</dc:language>
  <cp:lastModifiedBy>Aušra Laričevienė</cp:lastModifiedBy>
  <cp:lastPrinted>2023-11-15T06:30:00Z</cp:lastPrinted>
  <dcterms:modified xsi:type="dcterms:W3CDTF">2023-12-04T09:37:00Z</dcterms:modified>
  <cp:revision>7</cp:revision>
  <dc:subject>T-228</dc:subject>
  <dc:title>Dėl maksimalaus bendrojo naudojimo objektų administravimo tarifo apskaičiavimo tvarkos aprašo patvirtinimo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category">
    <vt:lpwstr>Sprendimas</vt:lpwstr>
  </property>
</Properties>
</file>